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0C5" w:rsidRDefault="00AF6027">
      <w:pPr>
        <w:spacing w:after="442" w:line="259" w:lineRule="auto"/>
        <w:ind w:right="1" w:firstLine="0"/>
        <w:jc w:val="right"/>
      </w:pPr>
      <w:bookmarkStart w:id="0" w:name="_GoBack"/>
      <w:bookmarkEnd w:id="0"/>
      <w:r>
        <w:rPr>
          <w:sz w:val="20"/>
        </w:rPr>
        <w:t>Ann Ig. 2023 May-Jun; 35(3): 282-296    doi: 10.7416/ai.2022.2538. Epub 2022 Jul 21.</w:t>
      </w:r>
    </w:p>
    <w:p w:rsidR="009220C5" w:rsidRDefault="00AF6027">
      <w:pPr>
        <w:spacing w:after="91" w:line="249" w:lineRule="auto"/>
        <w:ind w:left="170" w:right="1" w:firstLine="0"/>
      </w:pPr>
      <w:r>
        <w:rPr>
          <w:b/>
          <w:sz w:val="36"/>
        </w:rPr>
        <w:t>Epidemiology of sepsis in Internal Medicine Units of Apulia: results of SEMINA (SEpsis Management in INternal medicine Apulia) study</w:t>
      </w:r>
    </w:p>
    <w:p w:rsidR="009220C5" w:rsidRDefault="00AF6027">
      <w:pPr>
        <w:spacing w:after="4" w:line="255" w:lineRule="auto"/>
        <w:ind w:left="165" w:right="0" w:hanging="10"/>
        <w:jc w:val="left"/>
      </w:pPr>
      <w:r>
        <w:rPr>
          <w:sz w:val="26"/>
        </w:rPr>
        <w:t>A. Belfiore</w:t>
      </w:r>
      <w:r>
        <w:rPr>
          <w:vertAlign w:val="superscript"/>
        </w:rPr>
        <w:t>1</w:t>
      </w:r>
      <w:r>
        <w:rPr>
          <w:sz w:val="26"/>
        </w:rPr>
        <w:t>, F. Mastroianni</w:t>
      </w:r>
      <w:r>
        <w:rPr>
          <w:vertAlign w:val="superscript"/>
        </w:rPr>
        <w:t>2</w:t>
      </w:r>
      <w:r>
        <w:rPr>
          <w:sz w:val="26"/>
        </w:rPr>
        <w:t>, F. Ventrella</w:t>
      </w:r>
      <w:r>
        <w:rPr>
          <w:vertAlign w:val="superscript"/>
        </w:rPr>
        <w:t>3</w:t>
      </w:r>
      <w:r>
        <w:rPr>
          <w:sz w:val="26"/>
        </w:rPr>
        <w:t>, M. Errico</w:t>
      </w:r>
      <w:r>
        <w:rPr>
          <w:vertAlign w:val="superscript"/>
        </w:rPr>
        <w:t>4</w:t>
      </w:r>
      <w:r>
        <w:rPr>
          <w:sz w:val="26"/>
        </w:rPr>
        <w:t>, P. Suppressa</w:t>
      </w:r>
      <w:r>
        <w:rPr>
          <w:vertAlign w:val="superscript"/>
        </w:rPr>
        <w:t>5</w:t>
      </w:r>
      <w:r>
        <w:rPr>
          <w:sz w:val="26"/>
        </w:rPr>
        <w:t>,</w:t>
      </w:r>
    </w:p>
    <w:p w:rsidR="009220C5" w:rsidRDefault="00AF6027">
      <w:pPr>
        <w:spacing w:after="1438" w:line="255" w:lineRule="auto"/>
        <w:ind w:left="165" w:right="0" w:hanging="10"/>
        <w:jc w:val="left"/>
      </w:pPr>
      <w:r>
        <w:rPr>
          <w:sz w:val="26"/>
        </w:rPr>
        <w:t>M. Tomai</w:t>
      </w:r>
      <w:r>
        <w:rPr>
          <w:vertAlign w:val="superscript"/>
        </w:rPr>
        <w:t>6</w:t>
      </w:r>
      <w:r>
        <w:rPr>
          <w:sz w:val="26"/>
        </w:rPr>
        <w:t>, S. Sabatino</w:t>
      </w:r>
      <w:r>
        <w:rPr>
          <w:vertAlign w:val="superscript"/>
        </w:rPr>
        <w:t>6</w:t>
      </w:r>
      <w:r>
        <w:rPr>
          <w:sz w:val="26"/>
        </w:rPr>
        <w:t>, G. De Palma</w:t>
      </w:r>
      <w:r>
        <w:rPr>
          <w:vertAlign w:val="superscript"/>
        </w:rPr>
        <w:t>7</w:t>
      </w:r>
      <w:r>
        <w:rPr>
          <w:sz w:val="26"/>
        </w:rPr>
        <w:t>, F. Pappagallo</w:t>
      </w:r>
      <w:r>
        <w:rPr>
          <w:vertAlign w:val="superscript"/>
        </w:rPr>
        <w:t>3</w:t>
      </w:r>
      <w:r>
        <w:rPr>
          <w:sz w:val="26"/>
        </w:rPr>
        <w:t>, A. Erbi</w:t>
      </w:r>
      <w:r>
        <w:rPr>
          <w:vertAlign w:val="superscript"/>
        </w:rPr>
        <w:t>8</w:t>
      </w:r>
      <w:r>
        <w:rPr>
          <w:sz w:val="26"/>
        </w:rPr>
        <w:t>, O. Simone</w:t>
      </w:r>
      <w:r>
        <w:rPr>
          <w:vertAlign w:val="superscript"/>
        </w:rPr>
        <w:t>9</w:t>
      </w:r>
      <w:r>
        <w:rPr>
          <w:sz w:val="26"/>
        </w:rPr>
        <w:t>, S. Longo</w:t>
      </w:r>
      <w:r>
        <w:rPr>
          <w:vertAlign w:val="superscript"/>
        </w:rPr>
        <w:t>10</w:t>
      </w:r>
      <w:r>
        <w:rPr>
          <w:sz w:val="26"/>
        </w:rPr>
        <w:t>, G. Vendemiale</w:t>
      </w:r>
      <w:r>
        <w:rPr>
          <w:vertAlign w:val="superscript"/>
        </w:rPr>
        <w:t>11</w:t>
      </w:r>
      <w:r>
        <w:rPr>
          <w:sz w:val="26"/>
        </w:rPr>
        <w:t>, M. Balsamo</w:t>
      </w:r>
      <w:r>
        <w:rPr>
          <w:vertAlign w:val="superscript"/>
        </w:rPr>
        <w:t>12</w:t>
      </w:r>
      <w:r>
        <w:rPr>
          <w:sz w:val="26"/>
        </w:rPr>
        <w:t>, I. Tartaglia</w:t>
      </w:r>
      <w:r>
        <w:rPr>
          <w:vertAlign w:val="superscript"/>
        </w:rPr>
        <w:t>13</w:t>
      </w:r>
      <w:r>
        <w:rPr>
          <w:sz w:val="26"/>
        </w:rPr>
        <w:t>, P. Guida</w:t>
      </w:r>
      <w:r>
        <w:rPr>
          <w:vertAlign w:val="superscript"/>
        </w:rPr>
        <w:t>14</w:t>
      </w:r>
    </w:p>
    <w:p w:rsidR="009220C5" w:rsidRDefault="00AF6027">
      <w:pPr>
        <w:spacing w:after="0" w:line="260" w:lineRule="auto"/>
        <w:ind w:left="1245" w:right="0" w:hanging="1090"/>
        <w:jc w:val="left"/>
      </w:pPr>
      <w:r>
        <w:rPr>
          <w:b/>
          <w:sz w:val="21"/>
        </w:rPr>
        <w:t>Key words:</w:t>
      </w:r>
      <w:r>
        <w:rPr>
          <w:i/>
          <w:sz w:val="21"/>
        </w:rPr>
        <w:t xml:space="preserve"> Internal Medicine Unit, Sepsis, Sepsis-3 criteria, eld</w:t>
      </w:r>
      <w:r>
        <w:rPr>
          <w:i/>
          <w:sz w:val="21"/>
        </w:rPr>
        <w:t>erly patients, Sequential Organ Failure Assessment score</w:t>
      </w:r>
    </w:p>
    <w:p w:rsidR="009220C5" w:rsidRDefault="00AF6027">
      <w:pPr>
        <w:spacing w:after="1447" w:line="260" w:lineRule="auto"/>
        <w:ind w:left="155" w:right="0" w:firstLine="0"/>
        <w:jc w:val="left"/>
      </w:pPr>
      <w:r>
        <w:rPr>
          <w:b/>
          <w:sz w:val="21"/>
        </w:rPr>
        <w:t>Parole chiave:</w:t>
      </w:r>
      <w:r>
        <w:rPr>
          <w:i/>
          <w:sz w:val="21"/>
        </w:rPr>
        <w:t xml:space="preserve"> Unità di Medicina Interna, Sepsi, Criteri Sepsi-3, pazienti anziani, SOFA score</w:t>
      </w:r>
    </w:p>
    <w:p w:rsidR="009220C5" w:rsidRDefault="00AF6027">
      <w:pPr>
        <w:spacing w:after="212" w:line="259" w:lineRule="auto"/>
        <w:ind w:left="170" w:right="0" w:firstLine="0"/>
        <w:jc w:val="left"/>
      </w:pPr>
      <w:r>
        <w:rPr>
          <w:rFonts w:ascii="Calibri" w:eastAsia="Calibri" w:hAnsi="Calibri" w:cs="Calibri"/>
          <w:noProof/>
          <w:sz w:val="22"/>
        </w:rPr>
        <mc:AlternateContent>
          <mc:Choice Requires="wpg">
            <w:drawing>
              <wp:inline distT="0" distB="0" distL="0" distR="0">
                <wp:extent cx="648335" cy="3175"/>
                <wp:effectExtent l="0" t="0" r="0" b="0"/>
                <wp:docPr id="24503" name="Group 24503"/>
                <wp:cNvGraphicFramePr/>
                <a:graphic xmlns:a="http://schemas.openxmlformats.org/drawingml/2006/main">
                  <a:graphicData uri="http://schemas.microsoft.com/office/word/2010/wordprocessingGroup">
                    <wpg:wgp>
                      <wpg:cNvGrpSpPr/>
                      <wpg:grpSpPr>
                        <a:xfrm>
                          <a:off x="0" y="0"/>
                          <a:ext cx="648335" cy="3175"/>
                          <a:chOff x="0" y="0"/>
                          <a:chExt cx="648335" cy="3175"/>
                        </a:xfrm>
                      </wpg:grpSpPr>
                      <wps:wsp>
                        <wps:cNvPr id="46" name="Shape 46"/>
                        <wps:cNvSpPr/>
                        <wps:spPr>
                          <a:xfrm>
                            <a:off x="0" y="0"/>
                            <a:ext cx="648335" cy="0"/>
                          </a:xfrm>
                          <a:custGeom>
                            <a:avLst/>
                            <a:gdLst/>
                            <a:ahLst/>
                            <a:cxnLst/>
                            <a:rect l="0" t="0" r="0" b="0"/>
                            <a:pathLst>
                              <a:path w="648335">
                                <a:moveTo>
                                  <a:pt x="0" y="0"/>
                                </a:moveTo>
                                <a:lnTo>
                                  <a:pt x="648335"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03" style="width:51.05pt;height:0.25pt;mso-position-horizontal-relative:char;mso-position-vertical-relative:line" coordsize="6483,31">
                <v:shape id="Shape 46" style="position:absolute;width:6483;height:0;left:0;top:0;" coordsize="648335,0" path="m0,0l648335,0">
                  <v:stroke weight="0.25pt" endcap="flat" joinstyle="miter" miterlimit="4" on="true" color="#000000"/>
                  <v:fill on="false" color="#000000" opacity="0"/>
                </v:shape>
              </v:group>
            </w:pict>
          </mc:Fallback>
        </mc:AlternateContent>
      </w:r>
    </w:p>
    <w:p w:rsidR="009220C5" w:rsidRDefault="00AF6027">
      <w:pPr>
        <w:spacing w:after="4" w:line="254" w:lineRule="auto"/>
        <w:ind w:left="165" w:right="0" w:hanging="10"/>
      </w:pPr>
      <w:r>
        <w:rPr>
          <w:i/>
          <w:sz w:val="15"/>
          <w:vertAlign w:val="superscript"/>
        </w:rPr>
        <w:t>1</w:t>
      </w:r>
      <w:r>
        <w:rPr>
          <w:i/>
          <w:sz w:val="17"/>
        </w:rPr>
        <w:t>Department of Biomedical Science and Human Oncology, Internal Medicine “A. Murri”, University “Aldo M</w:t>
      </w:r>
      <w:r>
        <w:rPr>
          <w:i/>
          <w:sz w:val="17"/>
        </w:rPr>
        <w:t>oro” of Bari, Italy</w:t>
      </w:r>
    </w:p>
    <w:p w:rsidR="009220C5" w:rsidRDefault="00AF6027">
      <w:pPr>
        <w:spacing w:after="4" w:line="254" w:lineRule="auto"/>
        <w:ind w:left="165" w:right="0" w:hanging="10"/>
      </w:pPr>
      <w:r>
        <w:rPr>
          <w:i/>
          <w:sz w:val="15"/>
          <w:vertAlign w:val="superscript"/>
        </w:rPr>
        <w:t>2</w:t>
      </w:r>
      <w:r>
        <w:rPr>
          <w:i/>
          <w:sz w:val="17"/>
        </w:rPr>
        <w:t xml:space="preserve"> University Hospital F. Miulli, Geriatrics Unit, Acquaviva delle Fonti (BA), Italy</w:t>
      </w:r>
    </w:p>
    <w:p w:rsidR="009220C5" w:rsidRDefault="00AF6027">
      <w:pPr>
        <w:spacing w:after="4" w:line="254" w:lineRule="auto"/>
        <w:ind w:left="165" w:right="0" w:hanging="10"/>
      </w:pPr>
      <w:r>
        <w:rPr>
          <w:i/>
          <w:sz w:val="15"/>
          <w:vertAlign w:val="superscript"/>
        </w:rPr>
        <w:t>3</w:t>
      </w:r>
      <w:r>
        <w:rPr>
          <w:i/>
          <w:sz w:val="17"/>
        </w:rPr>
        <w:t>Division of Internal Medicine, “G.Tatarella” Hospital, Cerignola (FG), Italy</w:t>
      </w:r>
    </w:p>
    <w:p w:rsidR="009220C5" w:rsidRDefault="00AF6027">
      <w:pPr>
        <w:numPr>
          <w:ilvl w:val="0"/>
          <w:numId w:val="1"/>
        </w:numPr>
        <w:spacing w:after="4" w:line="254" w:lineRule="auto"/>
        <w:ind w:right="0" w:hanging="146"/>
      </w:pPr>
      <w:r>
        <w:rPr>
          <w:i/>
          <w:sz w:val="17"/>
        </w:rPr>
        <w:t>University Hospital F. Miulli,  Internal Medicine, Acquaviva delle Fonti (BA), Italy</w:t>
      </w:r>
    </w:p>
    <w:p w:rsidR="009220C5" w:rsidRDefault="00AF6027">
      <w:pPr>
        <w:numPr>
          <w:ilvl w:val="0"/>
          <w:numId w:val="1"/>
        </w:numPr>
        <w:spacing w:after="4" w:line="254" w:lineRule="auto"/>
        <w:ind w:right="0" w:hanging="146"/>
      </w:pPr>
      <w:r>
        <w:rPr>
          <w:i/>
          <w:sz w:val="17"/>
        </w:rPr>
        <w:t>Department of Internal Medicine and Rare Diseases Centre, Internal Medicine “C. Frugoni”, University “Aldo Moro” of Bari, Italy</w:t>
      </w:r>
    </w:p>
    <w:p w:rsidR="009220C5" w:rsidRDefault="00AF6027">
      <w:pPr>
        <w:numPr>
          <w:ilvl w:val="0"/>
          <w:numId w:val="1"/>
        </w:numPr>
        <w:spacing w:after="4" w:line="254" w:lineRule="auto"/>
        <w:ind w:right="0" w:hanging="146"/>
      </w:pPr>
      <w:r>
        <w:rPr>
          <w:i/>
          <w:sz w:val="17"/>
        </w:rPr>
        <w:t xml:space="preserve">Division of Internal Medicine, “Di Venere” </w:t>
      </w:r>
      <w:r>
        <w:rPr>
          <w:i/>
          <w:sz w:val="17"/>
        </w:rPr>
        <w:t>Hospital, Bari, Italy</w:t>
      </w:r>
    </w:p>
    <w:p w:rsidR="009220C5" w:rsidRDefault="00AF6027">
      <w:pPr>
        <w:numPr>
          <w:ilvl w:val="0"/>
          <w:numId w:val="1"/>
        </w:numPr>
        <w:spacing w:after="4" w:line="254" w:lineRule="auto"/>
        <w:ind w:right="0" w:hanging="146"/>
      </w:pPr>
      <w:r>
        <w:rPr>
          <w:i/>
          <w:sz w:val="17"/>
        </w:rPr>
        <w:t xml:space="preserve">Division of Internal Medicine “Don Tonino Bello” Hospital, Molfetta (BA), Italy </w:t>
      </w:r>
    </w:p>
    <w:p w:rsidR="009220C5" w:rsidRDefault="00AF6027">
      <w:pPr>
        <w:numPr>
          <w:ilvl w:val="0"/>
          <w:numId w:val="1"/>
        </w:numPr>
        <w:spacing w:after="4" w:line="254" w:lineRule="auto"/>
        <w:ind w:right="0" w:hanging="146"/>
      </w:pPr>
      <w:r>
        <w:rPr>
          <w:i/>
          <w:sz w:val="17"/>
        </w:rPr>
        <w:t xml:space="preserve">Division of Internal Medicine “SS Annunziata” Hospital, Taranto, Italy </w:t>
      </w:r>
    </w:p>
    <w:p w:rsidR="009220C5" w:rsidRDefault="00AF6027">
      <w:pPr>
        <w:numPr>
          <w:ilvl w:val="0"/>
          <w:numId w:val="1"/>
        </w:numPr>
        <w:spacing w:after="4" w:line="254" w:lineRule="auto"/>
        <w:ind w:right="0" w:hanging="146"/>
      </w:pPr>
      <w:r>
        <w:rPr>
          <w:i/>
          <w:sz w:val="17"/>
        </w:rPr>
        <w:t xml:space="preserve">Division of Internal Medicine “San Pio” Hospital, Castellaneta (TA), Italy </w:t>
      </w:r>
    </w:p>
    <w:p w:rsidR="009220C5" w:rsidRDefault="00AF6027">
      <w:pPr>
        <w:numPr>
          <w:ilvl w:val="0"/>
          <w:numId w:val="1"/>
        </w:numPr>
        <w:spacing w:after="4" w:line="254" w:lineRule="auto"/>
        <w:ind w:right="0" w:hanging="146"/>
      </w:pPr>
      <w:r>
        <w:rPr>
          <w:i/>
          <w:sz w:val="17"/>
        </w:rPr>
        <w:t xml:space="preserve">Department of Biomedical Science and Human Oncology, Internal Medicine “G. Baccelli”, University “Aldo Moro” of </w:t>
      </w:r>
    </w:p>
    <w:p w:rsidR="009220C5" w:rsidRDefault="00AF6027">
      <w:pPr>
        <w:spacing w:after="4" w:line="254" w:lineRule="auto"/>
        <w:ind w:left="165" w:right="0" w:hanging="10"/>
      </w:pPr>
      <w:r>
        <w:rPr>
          <w:i/>
          <w:sz w:val="17"/>
        </w:rPr>
        <w:t xml:space="preserve">Bari, Italy </w:t>
      </w:r>
    </w:p>
    <w:p w:rsidR="009220C5" w:rsidRDefault="00AF6027">
      <w:pPr>
        <w:numPr>
          <w:ilvl w:val="0"/>
          <w:numId w:val="1"/>
        </w:numPr>
        <w:spacing w:after="4" w:line="254" w:lineRule="auto"/>
        <w:ind w:right="0" w:hanging="146"/>
      </w:pPr>
      <w:r>
        <w:rPr>
          <w:i/>
          <w:sz w:val="17"/>
        </w:rPr>
        <w:t>Internal Medicine Department, University of Foggia, Italy</w:t>
      </w:r>
    </w:p>
    <w:p w:rsidR="009220C5" w:rsidRDefault="00AF6027">
      <w:pPr>
        <w:numPr>
          <w:ilvl w:val="0"/>
          <w:numId w:val="1"/>
        </w:numPr>
        <w:spacing w:after="4" w:line="254" w:lineRule="auto"/>
        <w:ind w:right="0" w:hanging="146"/>
      </w:pPr>
      <w:r>
        <w:rPr>
          <w:i/>
          <w:sz w:val="17"/>
        </w:rPr>
        <w:t>Division of Internal Medicine, “San Camillo De Lellis” Hospital, Manfred</w:t>
      </w:r>
      <w:r>
        <w:rPr>
          <w:i/>
          <w:sz w:val="17"/>
        </w:rPr>
        <w:t xml:space="preserve">onia (FG), Italy </w:t>
      </w:r>
    </w:p>
    <w:p w:rsidR="009220C5" w:rsidRDefault="00AF6027">
      <w:pPr>
        <w:numPr>
          <w:ilvl w:val="0"/>
          <w:numId w:val="1"/>
        </w:numPr>
        <w:spacing w:after="4" w:line="254" w:lineRule="auto"/>
        <w:ind w:right="0" w:hanging="146"/>
      </w:pPr>
      <w:r>
        <w:rPr>
          <w:i/>
          <w:sz w:val="17"/>
        </w:rPr>
        <w:t xml:space="preserve">Division of Internal Medicine, “A. Perrino” Hospital, Brindisi, Italy </w:t>
      </w:r>
    </w:p>
    <w:p w:rsidR="009220C5" w:rsidRDefault="00AF6027">
      <w:pPr>
        <w:numPr>
          <w:ilvl w:val="0"/>
          <w:numId w:val="1"/>
        </w:numPr>
        <w:spacing w:after="4" w:line="254" w:lineRule="auto"/>
        <w:ind w:right="0" w:hanging="146"/>
      </w:pPr>
      <w:r>
        <w:rPr>
          <w:i/>
          <w:sz w:val="17"/>
        </w:rPr>
        <w:t>University Hospital F. Miulli</w:t>
      </w:r>
      <w:r>
        <w:rPr>
          <w:i/>
          <w:sz w:val="15"/>
          <w:vertAlign w:val="superscript"/>
        </w:rPr>
        <w:t xml:space="preserve"> </w:t>
      </w:r>
      <w:r>
        <w:rPr>
          <w:i/>
          <w:sz w:val="17"/>
        </w:rPr>
        <w:t xml:space="preserve">, Clinical Trials Office, Acquaviva delle Fonti (BA), Italy </w:t>
      </w:r>
    </w:p>
    <w:p w:rsidR="009220C5" w:rsidRDefault="00AF6027">
      <w:pPr>
        <w:pStyle w:val="Heading1"/>
        <w:spacing w:after="0"/>
        <w:ind w:left="170" w:firstLine="0"/>
      </w:pPr>
      <w:r>
        <w:rPr>
          <w:sz w:val="17"/>
        </w:rPr>
        <w:t>The members of the SEMINA Study Group</w:t>
      </w:r>
    </w:p>
    <w:p w:rsidR="009220C5" w:rsidRDefault="00AF6027">
      <w:pPr>
        <w:spacing w:after="176" w:line="254" w:lineRule="auto"/>
        <w:ind w:left="165" w:right="0" w:hanging="10"/>
      </w:pPr>
      <w:r>
        <w:rPr>
          <w:i/>
          <w:sz w:val="17"/>
        </w:rPr>
        <w:t>Michele Balsamo, Anna Belfiore, Cristi</w:t>
      </w:r>
      <w:r>
        <w:rPr>
          <w:i/>
          <w:sz w:val="17"/>
        </w:rPr>
        <w:t>ano Capurso, Vito Carrieri, Giovanni De Palma, Anna Erbi, Massimo Errico, Antonio Maria Giuliano, Pietro Guida, Stefania Longo, Vincenzo Longobardo, Franco Mastroianni, Fabrizio Pappagallo, Piero Portincasa, Lara Ricci, Stefania Sabatino, Carlo Sabbà, Sara</w:t>
      </w:r>
      <w:r>
        <w:rPr>
          <w:i/>
          <w:sz w:val="17"/>
        </w:rPr>
        <w:t xml:space="preserve"> Santoro, Serafino Talarico, Olivia Simone, Fernando Sogari, Patrizia Suppressa, Serafino Talarico, Ilaria Tartaglia, Michela Talia, Maria Tomai, Angelo Vacca, Gianluigi Vendemiale, Francesco Ventrella</w:t>
      </w:r>
    </w:p>
    <w:p w:rsidR="009220C5" w:rsidRDefault="00AF6027">
      <w:pPr>
        <w:spacing w:after="4" w:line="254" w:lineRule="auto"/>
        <w:ind w:left="165" w:right="3967" w:hanging="10"/>
        <w:jc w:val="left"/>
      </w:pPr>
      <w:r>
        <w:rPr>
          <w:sz w:val="16"/>
        </w:rPr>
        <w:lastRenderedPageBreak/>
        <w:t>Annali di Igiene : Medicina Preventiva e di Comunità (</w:t>
      </w:r>
      <w:r>
        <w:rPr>
          <w:sz w:val="16"/>
        </w:rPr>
        <w:t>Ann Ig) ISSN 1120-9135    https://www.annali-igiene.it</w:t>
      </w:r>
    </w:p>
    <w:p w:rsidR="009220C5" w:rsidRDefault="00AF6027">
      <w:pPr>
        <w:spacing w:after="4" w:line="254" w:lineRule="auto"/>
        <w:ind w:left="165" w:right="3967" w:hanging="10"/>
        <w:jc w:val="left"/>
      </w:pPr>
      <w:r>
        <w:rPr>
          <w:sz w:val="16"/>
        </w:rPr>
        <w:t>Copyright © Società Editrice Universo (SEU), Roma, Italy</w:t>
      </w:r>
    </w:p>
    <w:p w:rsidR="009220C5" w:rsidRDefault="00AF6027">
      <w:pPr>
        <w:pStyle w:val="Heading1"/>
        <w:spacing w:after="101"/>
        <w:ind w:left="-5"/>
      </w:pPr>
      <w:r>
        <w:rPr>
          <w:sz w:val="20"/>
        </w:rPr>
        <w:t xml:space="preserve">Abstract </w:t>
      </w:r>
    </w:p>
    <w:p w:rsidR="009220C5" w:rsidRDefault="00AF6027">
      <w:pPr>
        <w:spacing w:after="6" w:line="249" w:lineRule="auto"/>
        <w:ind w:left="278" w:right="157" w:hanging="10"/>
      </w:pPr>
      <w:r>
        <w:rPr>
          <w:b/>
          <w:i/>
          <w:sz w:val="19"/>
        </w:rPr>
        <w:t xml:space="preserve">Background. </w:t>
      </w:r>
      <w:r>
        <w:rPr>
          <w:i/>
          <w:sz w:val="19"/>
        </w:rPr>
        <w:t>The prevalence and mortality of sepsis in Internal Medicine Units (IMUs) is poorly understood as most of the data derive from studies conducted in Intensive Care Units. Aim of  SEpsis Management in INternal medicine Apulia (SEMINA) study was to determine t</w:t>
      </w:r>
      <w:r>
        <w:rPr>
          <w:i/>
          <w:sz w:val="19"/>
        </w:rPr>
        <w:t>he prevalence of sepsis and the characteristics and outcomes of patients with Sepsis-3 criteria admitted in Apulia’s Internal Medicine Units for over six months.</w:t>
      </w:r>
    </w:p>
    <w:p w:rsidR="009220C5" w:rsidRDefault="00AF6027">
      <w:pPr>
        <w:spacing w:after="6" w:line="249" w:lineRule="auto"/>
        <w:ind w:left="278" w:right="157" w:hanging="10"/>
      </w:pPr>
      <w:r>
        <w:rPr>
          <w:b/>
          <w:i/>
          <w:sz w:val="19"/>
        </w:rPr>
        <w:t>Methods.</w:t>
      </w:r>
      <w:r>
        <w:rPr>
          <w:i/>
          <w:sz w:val="19"/>
        </w:rPr>
        <w:t xml:space="preserve"> The SEpsis Management in INternal medicine of Apulia study was a prospective, multice</w:t>
      </w:r>
      <w:r>
        <w:rPr>
          <w:i/>
          <w:sz w:val="19"/>
        </w:rPr>
        <w:t>ntre, observational study. Adult admissions to the 13 Apulia Region’s Internal Medicine Units between November 15, 2018 and May 15, 2019 were screened for sepsis according to the Sepsis-3 criteria. Medical data were collected in electronic case report form</w:t>
      </w:r>
      <w:r>
        <w:rPr>
          <w:i/>
          <w:sz w:val="19"/>
        </w:rPr>
        <w:t>.</w:t>
      </w:r>
    </w:p>
    <w:p w:rsidR="009220C5" w:rsidRDefault="00AF6027">
      <w:pPr>
        <w:spacing w:after="6" w:line="249" w:lineRule="auto"/>
        <w:ind w:left="278" w:right="157" w:hanging="10"/>
      </w:pPr>
      <w:r>
        <w:rPr>
          <w:b/>
          <w:i/>
          <w:sz w:val="19"/>
        </w:rPr>
        <w:t>Results.</w:t>
      </w:r>
      <w:r>
        <w:rPr>
          <w:i/>
          <w:sz w:val="19"/>
        </w:rPr>
        <w:t xml:space="preserve"> Out of 7,885 adult patients of the Internal Medicine Units, 359 (4.55%) fulfilled the inclusion criteria, and 65 of them (18.1%) met the septic shock criteria. The patients enrolled were elderly, suffering from chronic poly-pathologies and from </w:t>
      </w:r>
      <w:r>
        <w:rPr>
          <w:i/>
          <w:sz w:val="19"/>
        </w:rPr>
        <w:t>cognitive and functional impairment. The respiratory system was the most common site of infection and the most common pathogens isolated from blood cultures were Staphylococcus spp., E. coli, Klebsiella spp., Enterococcus spp. and Acinetobacter spp. The in</w:t>
      </w:r>
      <w:r>
        <w:rPr>
          <w:i/>
          <w:sz w:val="19"/>
        </w:rPr>
        <w:t>-hospital fatality rate was 31.2% and was significantly higher for septic shock. Sequential Organ Failure Assessment score, dementia and infections from Acinetobacter spp. were independent risk factors for mortality.</w:t>
      </w:r>
    </w:p>
    <w:p w:rsidR="009220C5" w:rsidRDefault="00AF6027">
      <w:pPr>
        <w:spacing w:after="6" w:line="249" w:lineRule="auto"/>
        <w:ind w:left="278" w:right="157" w:hanging="10"/>
      </w:pPr>
      <w:r>
        <w:rPr>
          <w:b/>
          <w:i/>
          <w:sz w:val="19"/>
        </w:rPr>
        <w:t xml:space="preserve">Conclusions. </w:t>
      </w:r>
      <w:r>
        <w:rPr>
          <w:i/>
          <w:sz w:val="19"/>
        </w:rPr>
        <w:t>A high prevalence of sepsi</w:t>
      </w:r>
      <w:r>
        <w:rPr>
          <w:i/>
          <w:sz w:val="19"/>
        </w:rPr>
        <w:t>s and a high fatality rate were detected in Apulia Region’s Internal Medicine Units. The high fatality rate observed in our study could be related to the underlying diseases and to the vulnerability of elderly patients admitted to our Internal Medicine Uni</w:t>
      </w:r>
      <w:r>
        <w:rPr>
          <w:i/>
          <w:sz w:val="19"/>
        </w:rPr>
        <w:t>ts.</w:t>
      </w:r>
    </w:p>
    <w:p w:rsidR="009220C5" w:rsidRDefault="009220C5">
      <w:pPr>
        <w:sectPr w:rsidR="009220C5">
          <w:headerReference w:type="even" r:id="rId7"/>
          <w:headerReference w:type="default" r:id="rId8"/>
          <w:headerReference w:type="first" r:id="rId9"/>
          <w:pgSz w:w="10205" w:h="14740"/>
          <w:pgMar w:top="1111" w:right="850" w:bottom="1100" w:left="850" w:header="720" w:footer="720" w:gutter="0"/>
          <w:pgNumType w:start="282"/>
          <w:cols w:space="720"/>
          <w:titlePg/>
        </w:sectPr>
      </w:pPr>
    </w:p>
    <w:p w:rsidR="009220C5" w:rsidRDefault="00AF6027">
      <w:pPr>
        <w:pStyle w:val="Heading1"/>
        <w:ind w:left="-5"/>
      </w:pPr>
      <w:r>
        <w:t>Introduction</w:t>
      </w:r>
    </w:p>
    <w:p w:rsidR="009220C5" w:rsidRDefault="00AF6027">
      <w:pPr>
        <w:ind w:left="-15" w:right="45"/>
      </w:pPr>
      <w:r>
        <w:t>Sepsis is a life-threatening condition triggered by a dysregulated host response to infection (1). Despite improved healthcare, sepsis mortality rate remains high, about 25% for sepsis and 40-50% for septic shock (2, 3). In the last decades the incidence o</w:t>
      </w:r>
      <w:r>
        <w:t>f sepsis in developed countries has increased, probably due to the ageing population and, consequently, more chronic illnesses, as well as to antibiotic resistance (4, 5). The World Health Organization (WHO) 2020 Global Report on the epidemiology and burde</w:t>
      </w:r>
      <w:r>
        <w:t>n of sepsis reported an estimated 49 milion cases of sepsis and 11 milion sepsis-related deaths observed worldwide in 2017 (6). Currently, the patients admitted to hospital with sepsis criteria are more often the elderly and suffer from chronic diseases an</w:t>
      </w:r>
      <w:r>
        <w:t>d from cognitive and functional impairments. The association between acute and chronic diseases is the characteristic of older patients admitted to Internal Medicine Units (IMUs), who have a high complexity due to advanced age, chronic poly-pathologies and</w:t>
      </w:r>
      <w:r>
        <w:t xml:space="preserve"> functional loss, and therefore require a global approach and sub-intensive care (7, 8). Traditionally, patients </w:t>
      </w:r>
      <w:r>
        <w:t>with sepsis were more often admitted to Intensive Care Units (ICUs). Currently, however, the hospitalization of these patients in Internal Medi</w:t>
      </w:r>
      <w:r>
        <w:t>cine Units (IMUs) is increasingly frequent ( 9-11).</w:t>
      </w:r>
    </w:p>
    <w:p w:rsidR="009220C5" w:rsidRDefault="00AF6027">
      <w:pPr>
        <w:ind w:left="-15" w:right="171"/>
      </w:pPr>
      <w:r>
        <w:t xml:space="preserve">Few data are available on the characteristics and outcomes of patients with sepsis admitted to IMUs, whereas the greatest amount of information on this pathology comes from studies carried out in ICUs. </w:t>
      </w:r>
    </w:p>
    <w:p w:rsidR="009220C5" w:rsidRDefault="00AF6027">
      <w:pPr>
        <w:ind w:left="-15" w:right="171"/>
      </w:pPr>
      <w:r>
        <w:t>F</w:t>
      </w:r>
      <w:r>
        <w:t>urthermore, the literature data are not homogeneous, as the criteria for sepsis diagnosis have changed over time and crossed over different studies. In 2016, the third version of sepsis criteria (Sepsis-3) was introduced. It is based on the organ dysfuncti</w:t>
      </w:r>
      <w:r>
        <w:t xml:space="preserve">on in order to improve risk stratification among patients with suspect infection (1). The clinical data used for the new definition were derived from patients hospitalized in ICUs. To date, few studies have used this criterion in identifying patients with </w:t>
      </w:r>
      <w:r>
        <w:t>sepsis admitted to IMUs.</w:t>
      </w:r>
    </w:p>
    <w:p w:rsidR="009220C5" w:rsidRDefault="00AF6027">
      <w:pPr>
        <w:spacing w:after="538"/>
        <w:ind w:left="170" w:right="45"/>
      </w:pPr>
      <w:r>
        <w:t>Therefore-</w:t>
      </w:r>
      <w:r>
        <w:rPr>
          <w:color w:val="00AF50"/>
        </w:rPr>
        <w:t>,</w:t>
      </w:r>
      <w:r>
        <w:t xml:space="preserve"> aim of SEMINA (SEpsis Management in INternal medicine Apulia) study was to describe the epidemiology of sepsis and the characteristics and outcomes of patients with sepsis </w:t>
      </w:r>
      <w:r>
        <w:lastRenderedPageBreak/>
        <w:t>(according to Sepsis-3 criteria) admitted to Ap</w:t>
      </w:r>
      <w:r>
        <w:t>ulia IMUs for over six months.</w:t>
      </w:r>
    </w:p>
    <w:p w:rsidR="009220C5" w:rsidRDefault="00AF6027">
      <w:pPr>
        <w:pStyle w:val="Heading1"/>
        <w:ind w:left="180"/>
      </w:pPr>
      <w:r>
        <w:t>Materials and methods</w:t>
      </w:r>
    </w:p>
    <w:p w:rsidR="009220C5" w:rsidRDefault="00AF6027">
      <w:pPr>
        <w:pStyle w:val="Heading2"/>
        <w:ind w:left="165"/>
      </w:pPr>
      <w:r>
        <w:t>Study design</w:t>
      </w:r>
    </w:p>
    <w:p w:rsidR="009220C5" w:rsidRDefault="00AF6027">
      <w:pPr>
        <w:ind w:left="170" w:right="45"/>
      </w:pPr>
      <w:r>
        <w:t>The SEMINA study was a prospective, observational, multicentre, cohort study designed by the Apulian section of FADOI (Italian Scientific Society of Hospital Internal Medicine) to evaluate the prevalence, the characteristics and the outcomes of sepsis pati</w:t>
      </w:r>
      <w:r>
        <w:t>ents admitted to IMUs in Apulia region (Italy).</w:t>
      </w:r>
    </w:p>
    <w:p w:rsidR="009220C5" w:rsidRDefault="00AF6027">
      <w:pPr>
        <w:ind w:left="170" w:right="45"/>
      </w:pPr>
      <w:r>
        <w:t xml:space="preserve">The recruitment of the centres was on a voluntary basis, with no financial incentive. </w:t>
      </w:r>
    </w:p>
    <w:p w:rsidR="009220C5" w:rsidRDefault="00AF6027">
      <w:pPr>
        <w:ind w:left="170" w:right="45"/>
      </w:pPr>
      <w:r>
        <w:t xml:space="preserve">The study did not involve any deviations from routine medical practice, but the authorization of the Ethics Committee of </w:t>
      </w:r>
      <w:r>
        <w:t>each participating centre was required.</w:t>
      </w:r>
    </w:p>
    <w:p w:rsidR="009220C5" w:rsidRDefault="00AF6027">
      <w:pPr>
        <w:ind w:left="170" w:right="45"/>
      </w:pPr>
      <w:r>
        <w:t>Between November 15, 2018 and May 15, 2019, consecutive adult patients (&gt; 18 years) newly admitted to the IMUs of participating centres with Sepsis-3 criteria were included after issuing their informed consent. In ad</w:t>
      </w:r>
      <w:r>
        <w:t>dition to incoming patients, all hospitalized patients were screened over time to identify the onset of hospital-acquired sepsis. The only exclusion criterion was the patient’s denial of informed consent.</w:t>
      </w:r>
    </w:p>
    <w:p w:rsidR="009220C5" w:rsidRDefault="00AF6027">
      <w:pPr>
        <w:spacing w:after="250"/>
        <w:ind w:left="170" w:right="45"/>
      </w:pPr>
      <w:r>
        <w:t>Patients were followed up until hospital discharge,</w:t>
      </w:r>
      <w:r>
        <w:t xml:space="preserve"> transfer to ICUs or death.</w:t>
      </w:r>
    </w:p>
    <w:p w:rsidR="009220C5" w:rsidRDefault="00AF6027">
      <w:pPr>
        <w:pStyle w:val="Heading2"/>
        <w:ind w:left="165"/>
      </w:pPr>
      <w:r>
        <w:t>Definitions</w:t>
      </w:r>
    </w:p>
    <w:p w:rsidR="009220C5" w:rsidRDefault="00AF6027">
      <w:pPr>
        <w:ind w:left="170" w:right="45"/>
      </w:pPr>
      <w:r>
        <w:t xml:space="preserve">The Sepsis-3 criteria were used to select patients to be enrolled. Therefore the inclusion criteria were: patients with a suspicion of infection on admission or during the hospital stay and an acute sequential organ </w:t>
      </w:r>
      <w:r>
        <w:t xml:space="preserve">failure assessment (SOFA) score increase of </w:t>
      </w:r>
      <w:r>
        <w:rPr>
          <w:u w:val="single" w:color="000000"/>
        </w:rPr>
        <w:t>&gt;</w:t>
      </w:r>
      <w:r>
        <w:t>2 points, considering baseline score to be zero (1).</w:t>
      </w:r>
    </w:p>
    <w:p w:rsidR="009220C5" w:rsidRDefault="00AF6027">
      <w:pPr>
        <w:ind w:left="-15" w:right="45"/>
      </w:pPr>
      <w:r>
        <w:t>The SOFA score had to be recorded on the day of admission or 2 days later, as organ dysfunction can occur even after the diagnosis of infection (12). For pati</w:t>
      </w:r>
      <w:r>
        <w:t>ents with hospital-acquired sepsis, the SOFA score had to be calculated when infection was suspected.</w:t>
      </w:r>
    </w:p>
    <w:p w:rsidR="009220C5" w:rsidRDefault="00AF6027">
      <w:pPr>
        <w:ind w:left="-15" w:right="45"/>
      </w:pPr>
      <w:r>
        <w:t>Suspected infection was defined by blood culture sampling and by concomitant administration of intravenous antibiotics as indicated by the Sepsis-3 docume</w:t>
      </w:r>
      <w:r>
        <w:t xml:space="preserve">nt. Hospital acquired sepsis was defined as sepsis manifested </w:t>
      </w:r>
      <w:r>
        <w:rPr>
          <w:u w:val="single" w:color="000000"/>
        </w:rPr>
        <w:t>&gt;</w:t>
      </w:r>
      <w:r>
        <w:t xml:space="preserve"> 48 hours after hospital admission. Septic shock was defined  as the use of vasopressors needed to maintain mean arterial pressure &gt; 65 mmHg) and lactate levels &gt; 2 mmol/L.</w:t>
      </w:r>
    </w:p>
    <w:p w:rsidR="009220C5" w:rsidRDefault="00AF6027">
      <w:pPr>
        <w:spacing w:after="250"/>
        <w:ind w:left="-15" w:right="45"/>
      </w:pPr>
      <w:r>
        <w:t xml:space="preserve">Microorganisms were </w:t>
      </w:r>
      <w:r>
        <w:t>defined as multidrug-resistant (MDR) if resistant to at least one agent in three or more antimicrobial classes, and pandrug-resistant (PDR) if resistant to all agents in all antimicrobial classes (13).</w:t>
      </w:r>
    </w:p>
    <w:p w:rsidR="009220C5" w:rsidRDefault="00AF6027">
      <w:pPr>
        <w:pStyle w:val="Heading2"/>
        <w:ind w:left="10"/>
      </w:pPr>
      <w:r>
        <w:t>Data collection</w:t>
      </w:r>
    </w:p>
    <w:p w:rsidR="009220C5" w:rsidRDefault="00AF6027">
      <w:pPr>
        <w:ind w:left="-15" w:right="45"/>
      </w:pPr>
      <w:r>
        <w:t xml:space="preserve">The data were collected in electronic </w:t>
      </w:r>
      <w:r>
        <w:t>case report forms (eCRF). Detailed information about the study and the eCRF compilation were provided to all participants during a preliminary meeting. Information recorded included: demographic information (age, sex, place of origin &lt;home, long-term facil</w:t>
      </w:r>
      <w:r>
        <w:t>ity, others hospitals&gt;); clinical data (temperature, blood pressure, respiratory rate, Glasgow Coma Scale (GCS), hospital length of stay, concomitant diseases, site of infection); antibiotic treatment in the previous month; laboratory data and results of m</w:t>
      </w:r>
      <w:r>
        <w:t xml:space="preserve">icrobial cultures and antimicrobial resistance; SOFA score at enrollment; treatment data. </w:t>
      </w:r>
    </w:p>
    <w:p w:rsidR="009220C5" w:rsidRDefault="00AF6027">
      <w:pPr>
        <w:ind w:left="-15" w:right="45"/>
      </w:pPr>
      <w:r>
        <w:t>The total number of hospitalizations during the period of the study was also required for each centre.</w:t>
      </w:r>
    </w:p>
    <w:p w:rsidR="009220C5" w:rsidRDefault="00AF6027">
      <w:pPr>
        <w:pStyle w:val="Heading3"/>
        <w:ind w:left="-5"/>
      </w:pPr>
      <w:r>
        <w:t>Outcomes</w:t>
      </w:r>
    </w:p>
    <w:p w:rsidR="009220C5" w:rsidRDefault="00AF6027">
      <w:pPr>
        <w:ind w:left="-15" w:right="45"/>
      </w:pPr>
      <w:r>
        <w:t>The primary study outcome was inhospital fatality rate; secondary outcome were ICUs transfer and IMUs length of stay.</w:t>
      </w:r>
    </w:p>
    <w:p w:rsidR="009220C5" w:rsidRDefault="00AF6027">
      <w:pPr>
        <w:spacing w:after="250"/>
        <w:ind w:left="-15" w:right="45"/>
      </w:pPr>
      <w:r>
        <w:t>Case fatality rate was calculated by dividing the number of patients who die of sepsis by all patients diagnosed with sepsis during the st</w:t>
      </w:r>
      <w:r>
        <w:t>udy period; the resulting ratio was then multiplied by 100 to get a percentage.</w:t>
      </w:r>
    </w:p>
    <w:p w:rsidR="009220C5" w:rsidRDefault="00AF6027">
      <w:pPr>
        <w:pStyle w:val="Heading3"/>
        <w:ind w:left="-5"/>
      </w:pPr>
      <w:r>
        <w:t>Statistical analyses</w:t>
      </w:r>
    </w:p>
    <w:p w:rsidR="009220C5" w:rsidRDefault="00AF6027">
      <w:pPr>
        <w:spacing w:after="537"/>
        <w:ind w:left="-15" w:right="45"/>
      </w:pPr>
      <w:r>
        <w:t>Data are summarized as the mean ± standard deviation for continuous variables or frequency and percentage for categorical variables. The patients’ characte</w:t>
      </w:r>
      <w:r>
        <w:t>ristics were compared by using Student’s t-test (continuous data) and chi-squared or Fisher’s exact test (categorical data) when appropriate. For the in-hospital mortality outcome, a backward stepwise procedure was performed (p&gt;0.05 to remove).  The variab</w:t>
      </w:r>
      <w:r>
        <w:t>les included were gender (female vs male), age, admission category, comorbidities, estimated glomerular filtration rate (eGFR), Glasgow Coma Scale, SOFA Score, septic shock, previous use of antibiotics, hospital acquired sepsis, site of infection, blood cu</w:t>
      </w:r>
      <w:r>
        <w:t xml:space="preserve">lture positive, </w:t>
      </w:r>
      <w:r>
        <w:rPr>
          <w:i/>
        </w:rPr>
        <w:t>Acinetobacter</w:t>
      </w:r>
      <w:r>
        <w:t xml:space="preserve"> spp, </w:t>
      </w:r>
      <w:r>
        <w:rPr>
          <w:i/>
        </w:rPr>
        <w:t>E. coli</w:t>
      </w:r>
      <w:r>
        <w:t xml:space="preserve">, </w:t>
      </w:r>
      <w:r>
        <w:rPr>
          <w:i/>
        </w:rPr>
        <w:t>Enterococcus</w:t>
      </w:r>
      <w:r>
        <w:t xml:space="preserve"> spp, </w:t>
      </w:r>
      <w:r>
        <w:rPr>
          <w:i/>
        </w:rPr>
        <w:t>Staphylococcus</w:t>
      </w:r>
      <w:r>
        <w:t xml:space="preserve"> spp and multidrug resistance. The model was used to select, among patients’ characteristics and available risk factors, independent predictors of in-hospital mortality.Odds Ratio </w:t>
      </w:r>
      <w:r>
        <w:t>with 95% Confidence Interval (95%CI) were reported. P value &lt; 0.05 was considered to be statistically significant. All analyses were performed using STATA version 16 (StataCorp, College Station, Texas).</w:t>
      </w:r>
    </w:p>
    <w:p w:rsidR="009220C5" w:rsidRDefault="00AF6027">
      <w:pPr>
        <w:pStyle w:val="Heading1"/>
        <w:ind w:left="-5"/>
      </w:pPr>
      <w:r>
        <w:t>Results</w:t>
      </w:r>
    </w:p>
    <w:tbl>
      <w:tblPr>
        <w:tblStyle w:val="TableGrid"/>
        <w:tblpPr w:vertAnchor="text" w:horzAnchor="margin" w:tblpY="6753"/>
        <w:tblOverlap w:val="never"/>
        <w:tblW w:w="8395" w:type="dxa"/>
        <w:tblInd w:w="0" w:type="dxa"/>
        <w:tblCellMar>
          <w:top w:w="0" w:type="dxa"/>
          <w:left w:w="0" w:type="dxa"/>
          <w:bottom w:w="0" w:type="dxa"/>
          <w:right w:w="1563" w:type="dxa"/>
        </w:tblCellMar>
        <w:tblLook w:val="04A0" w:firstRow="1" w:lastRow="0" w:firstColumn="1" w:lastColumn="0" w:noHBand="0" w:noVBand="1"/>
      </w:tblPr>
      <w:tblGrid>
        <w:gridCol w:w="2420"/>
      </w:tblGrid>
      <w:tr w:rsidR="009220C5">
        <w:trPr>
          <w:trHeight w:val="201"/>
        </w:trPr>
        <w:tc>
          <w:tcPr>
            <w:tcW w:w="2420" w:type="dxa"/>
            <w:tcBorders>
              <w:top w:val="nil"/>
              <w:left w:val="nil"/>
              <w:bottom w:val="nil"/>
              <w:right w:val="nil"/>
            </w:tcBorders>
            <w:vAlign w:val="bottom"/>
          </w:tcPr>
          <w:p w:rsidR="009220C5" w:rsidRDefault="00AF6027">
            <w:pPr>
              <w:spacing w:after="149" w:line="259" w:lineRule="auto"/>
              <w:ind w:left="1162" w:right="0" w:firstLine="0"/>
              <w:jc w:val="left"/>
            </w:pPr>
            <w:r>
              <w:rPr>
                <w:noProof/>
              </w:rPr>
              <w:drawing>
                <wp:inline distT="0" distB="0" distL="0" distR="0">
                  <wp:extent cx="3599688" cy="2877312"/>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0"/>
                          <a:stretch>
                            <a:fillRect/>
                          </a:stretch>
                        </pic:blipFill>
                        <pic:spPr>
                          <a:xfrm>
                            <a:off x="0" y="0"/>
                            <a:ext cx="3599688" cy="2877312"/>
                          </a:xfrm>
                          <a:prstGeom prst="rect">
                            <a:avLst/>
                          </a:prstGeom>
                        </pic:spPr>
                      </pic:pic>
                    </a:graphicData>
                  </a:graphic>
                </wp:inline>
              </w:drawing>
            </w:r>
          </w:p>
          <w:p w:rsidR="009220C5" w:rsidRDefault="00AF6027">
            <w:pPr>
              <w:spacing w:after="0" w:line="259" w:lineRule="auto"/>
              <w:ind w:left="-170" w:right="0" w:firstLine="0"/>
            </w:pPr>
            <w:r>
              <w:rPr>
                <w:sz w:val="18"/>
              </w:rPr>
              <w:t>Figure 1 - Flow chart of the study</w:t>
            </w:r>
          </w:p>
        </w:tc>
      </w:tr>
    </w:tbl>
    <w:p w:rsidR="009220C5" w:rsidRDefault="00AF6027">
      <w:pPr>
        <w:spacing w:after="250"/>
        <w:ind w:left="-15" w:right="173"/>
      </w:pPr>
      <w:r>
        <w:t xml:space="preserve">A total of 13 IMUs from 11 hospitals, including 4 University Clinics and 1 private hospital, all of them in Apulia, participated in this study. The flowchart of the study is shown in Figure 1. There were 7885 adult IMU admissions between November 15, 2018 </w:t>
      </w:r>
      <w:r>
        <w:t xml:space="preserve">and May 15, 2019. Of these, 359 (4.55%) fulfilled the inclusion criteria and </w:t>
      </w:r>
      <w:r>
        <w:rPr>
          <w:color w:val="0D0D0D"/>
        </w:rPr>
        <w:t>constituted</w:t>
      </w:r>
      <w:r>
        <w:t xml:space="preserve"> the SEMINA cohort. Mean age was 78 </w:t>
      </w:r>
      <w:r>
        <w:rPr>
          <w:u w:val="single" w:color="000000"/>
        </w:rPr>
        <w:t>+</w:t>
      </w:r>
      <w:r>
        <w:t>13 years and 55.7% of patients were female. The majority of patients came from home (82.5%). The most common comorbidities were car</w:t>
      </w:r>
      <w:r>
        <w:t xml:space="preserve">diovascular diseases, diabetes, dementia and COPD (chronic obstructive pulmonary disease). Mean length of IMU stay was 14 </w:t>
      </w:r>
      <w:r>
        <w:rPr>
          <w:u w:val="single" w:color="000000"/>
        </w:rPr>
        <w:t>+</w:t>
      </w:r>
      <w:r>
        <w:t xml:space="preserve"> 10 days. The mean SOFA score was 6.2 </w:t>
      </w:r>
      <w:r>
        <w:rPr>
          <w:u w:val="single" w:color="000000"/>
        </w:rPr>
        <w:t>+</w:t>
      </w:r>
      <w:r>
        <w:t xml:space="preserve"> 2.9. According to the Sepsis-3 definitions, 65 (18.1%) patients were identified as having sep</w:t>
      </w:r>
      <w:r>
        <w:t>tic shock</w:t>
      </w:r>
      <w:r>
        <w:rPr>
          <w:color w:val="16365D"/>
        </w:rPr>
        <w:t xml:space="preserve">. </w:t>
      </w:r>
      <w:r>
        <w:t>The characteristics of the two patient groups, with sepsis and septic shock, are shown in Table 1. Patients with septic shock were more frequently women (70.8%) and more frequently came from nursing homes (21.5% vs 9.5%, p= 0.006); they had high</w:t>
      </w:r>
      <w:r>
        <w:t>er SOFA score (8.6</w:t>
      </w:r>
      <w:r>
        <w:rPr>
          <w:u w:val="single" w:color="000000"/>
        </w:rPr>
        <w:t>+</w:t>
      </w:r>
      <w:r>
        <w:t>3.1 vs 5.7</w:t>
      </w:r>
      <w:r>
        <w:rPr>
          <w:u w:val="single" w:color="000000"/>
        </w:rPr>
        <w:t>+</w:t>
      </w:r>
      <w:r>
        <w:t>2.6, p&lt;0.001), lower Glasgow Coma Scale (9.6</w:t>
      </w:r>
      <w:r>
        <w:rPr>
          <w:u w:val="single" w:color="000000"/>
        </w:rPr>
        <w:t>+</w:t>
      </w:r>
      <w:r>
        <w:t>4.2 vs 12.1</w:t>
      </w:r>
      <w:r>
        <w:rPr>
          <w:u w:val="single" w:color="000000"/>
        </w:rPr>
        <w:t>+</w:t>
      </w:r>
      <w:r>
        <w:t>3.6, p&lt;0.001) and had more frequently previous use of antibiotics (47.7% vs 29.6%, p=0.005) than patients with sepsis. The most common sites of infection were the respir</w:t>
      </w:r>
      <w:r>
        <w:t>atory system (30.1%) and urinary system (21.4%); 29.8% of patients had a primary bacteremia. The site of infection was not identified in 28 cases (7.8%). Table 1 details the distribution of infection site in the total number of people infected and in the 2</w:t>
      </w:r>
      <w:r>
        <w:t xml:space="preserve"> subgroups, sepsis and septic shock. Except for urinary infections, more frequent in the sepsis group (p=0.047), the distribution of infections was similar among patients with sepsis and septic shock.</w:t>
      </w:r>
    </w:p>
    <w:p w:rsidR="009220C5" w:rsidRDefault="00AF6027">
      <w:pPr>
        <w:pStyle w:val="Heading2"/>
      </w:pPr>
      <w:r>
        <w:rPr>
          <w:b w:val="0"/>
        </w:rPr>
        <w:t>Microbiological results</w:t>
      </w:r>
    </w:p>
    <w:p w:rsidR="009220C5" w:rsidRDefault="00AF6027">
      <w:pPr>
        <w:spacing w:after="249"/>
        <w:ind w:left="170" w:right="45"/>
      </w:pPr>
      <w:r>
        <w:t>In the SEMINA cohort 44.3% of p</w:t>
      </w:r>
      <w:r>
        <w:t>atients (n=159) tested positive blood cultures, 25% (n=90) had negative blood cultures and other positive cultures, 30.6% (n=110) had negative cultures. Among patients with negative blood cultures and other positive cultures, 52 patients (14.5%) had positi</w:t>
      </w:r>
      <w:r>
        <w:t>ve urine cultures, 17 patients (4.7%) had positive expectorated sputum and 21 patients (5.8%) had positive soft tissue and skin cultures. Gram negative bacteria were the prevalent organisms in positive blood cultures, accounting for 54.7% (n=87), while Gra</w:t>
      </w:r>
      <w:r>
        <w:t xml:space="preserve">m-positive bacteria accounted for 48.4% (n=77); 10 (6.2%) patients had mixed infections and 5 patients (3.1%) had </w:t>
      </w:r>
      <w:r>
        <w:rPr>
          <w:i/>
        </w:rPr>
        <w:t>Candida</w:t>
      </w:r>
      <w:r>
        <w:t xml:space="preserve"> spp. infections. The proportions of isolated microorganisms were not significantly different among patients with sepsis and sepsis shock. The distribution of microorganisms isolated from blood cultures of SEMINA patients, according to their clinical condi</w:t>
      </w:r>
      <w:r>
        <w:t xml:space="preserve">tions and antibiotic resistance, is shown in Table 2. The most common isolated pathogens by blood culture were </w:t>
      </w:r>
      <w:r>
        <w:rPr>
          <w:i/>
        </w:rPr>
        <w:t>Staphilococcus</w:t>
      </w:r>
      <w:r>
        <w:t xml:space="preserve"> spp. (39.6%), </w:t>
      </w:r>
      <w:r>
        <w:rPr>
          <w:i/>
        </w:rPr>
        <w:t>E. coli</w:t>
      </w:r>
      <w:r>
        <w:t xml:space="preserve"> (23.9%), </w:t>
      </w:r>
      <w:r>
        <w:rPr>
          <w:i/>
        </w:rPr>
        <w:t>Enterococcus</w:t>
      </w:r>
      <w:r>
        <w:t xml:space="preserve"> spp. (8.2%), </w:t>
      </w:r>
      <w:r>
        <w:rPr>
          <w:i/>
        </w:rPr>
        <w:t>Klebsiella</w:t>
      </w:r>
      <w:r>
        <w:t xml:space="preserve"> spp. (7.5 %), and </w:t>
      </w:r>
      <w:r>
        <w:rPr>
          <w:i/>
        </w:rPr>
        <w:t>Acinetobacter</w:t>
      </w:r>
      <w:r>
        <w:t xml:space="preserve"> spp. (7.5%). 6.3% of </w:t>
      </w:r>
      <w:r>
        <w:rPr>
          <w:i/>
        </w:rPr>
        <w:t>Staphiloc</w:t>
      </w:r>
      <w:r>
        <w:rPr>
          <w:i/>
        </w:rPr>
        <w:t>occus</w:t>
      </w:r>
      <w:r>
        <w:t xml:space="preserve"> </w:t>
      </w:r>
      <w:r>
        <w:rPr>
          <w:i/>
        </w:rPr>
        <w:t>aureus</w:t>
      </w:r>
      <w:r>
        <w:t xml:space="preserve"> isolates were identified as MRSA (Methicillin-Resistant </w:t>
      </w:r>
      <w:r>
        <w:rPr>
          <w:i/>
        </w:rPr>
        <w:t>Staphylococcus Aureus</w:t>
      </w:r>
      <w:r>
        <w:t xml:space="preserve">). 41.7% of </w:t>
      </w:r>
      <w:r>
        <w:rPr>
          <w:i/>
        </w:rPr>
        <w:t>Acinetobacter</w:t>
      </w:r>
      <w:r>
        <w:t xml:space="preserve"> spp. isolates, 30.8% of </w:t>
      </w:r>
      <w:r>
        <w:rPr>
          <w:i/>
        </w:rPr>
        <w:t>Klebsiella</w:t>
      </w:r>
      <w:r>
        <w:t xml:space="preserve"> spp. isolates, 18.4% of </w:t>
      </w:r>
      <w:r>
        <w:rPr>
          <w:i/>
        </w:rPr>
        <w:t>E. coli</w:t>
      </w:r>
      <w:r>
        <w:t xml:space="preserve"> and 15.4% of </w:t>
      </w:r>
      <w:r>
        <w:rPr>
          <w:i/>
        </w:rPr>
        <w:t>Pseudomonas</w:t>
      </w:r>
      <w:r>
        <w:t xml:space="preserve"> spp. were resistant to carbapenem. Overall we ob</w:t>
      </w:r>
      <w:r>
        <w:t xml:space="preserve">served a prevalence of 13.2% (21 patients) of sepsis caused by carbapenemresistant pathogens. The diagnosis of MDR was made by blood culture in 38 isolates (23.9%), while only 1 isolate was PDR for </w:t>
      </w:r>
      <w:r>
        <w:rPr>
          <w:i/>
        </w:rPr>
        <w:t>Klebsiella Pneumoniae</w:t>
      </w:r>
      <w:r>
        <w:t xml:space="preserve">. The most common MDR strains were </w:t>
      </w:r>
      <w:r>
        <w:rPr>
          <w:i/>
        </w:rPr>
        <w:t>St</w:t>
      </w:r>
      <w:r>
        <w:rPr>
          <w:i/>
        </w:rPr>
        <w:t>aphylococcus</w:t>
      </w:r>
      <w:r>
        <w:t xml:space="preserve"> spp (12/38) followed by </w:t>
      </w:r>
      <w:r>
        <w:rPr>
          <w:i/>
        </w:rPr>
        <w:t>E. coli</w:t>
      </w:r>
      <w:r>
        <w:t xml:space="preserve"> (8/38). Considering all positive culture, 44 patients (17.7%) infected by MDR bacteria were identified.</w:t>
      </w:r>
    </w:p>
    <w:p w:rsidR="009220C5" w:rsidRDefault="00AF6027">
      <w:pPr>
        <w:pStyle w:val="Heading2"/>
        <w:ind w:left="-5"/>
      </w:pPr>
      <w:r>
        <w:rPr>
          <w:b w:val="0"/>
        </w:rPr>
        <w:t xml:space="preserve">Hospital-acquired sepsis </w:t>
      </w:r>
    </w:p>
    <w:p w:rsidR="009220C5" w:rsidRDefault="00AF6027">
      <w:pPr>
        <w:ind w:left="-15" w:right="45"/>
      </w:pPr>
      <w:r>
        <w:t>Only 25 (7%) patients had hospitalacquired sepsis. This subgroup exhibited more s</w:t>
      </w:r>
      <w:r>
        <w:t xml:space="preserve">evere disease than those with community-acquired sepsis, with long hospital stay (20 </w:t>
      </w:r>
      <w:r>
        <w:rPr>
          <w:u w:val="single" w:color="000000"/>
        </w:rPr>
        <w:t>+</w:t>
      </w:r>
      <w:r>
        <w:t xml:space="preserve"> 11 vs 13 </w:t>
      </w:r>
      <w:r>
        <w:rPr>
          <w:u w:val="single" w:color="000000"/>
        </w:rPr>
        <w:t>+</w:t>
      </w:r>
      <w:r>
        <w:t xml:space="preserve"> 10; p&lt;0.002) and high in-hospital fatality rate (n=10; 40%). The site of infection more common was the respiratory system (36%) and the most common isolated m</w:t>
      </w:r>
      <w:r>
        <w:t xml:space="preserve">icroorganisms from </w:t>
      </w:r>
    </w:p>
    <w:p w:rsidR="009220C5" w:rsidRDefault="009220C5">
      <w:pPr>
        <w:sectPr w:rsidR="009220C5">
          <w:type w:val="continuous"/>
          <w:pgSz w:w="10205" w:h="14740"/>
          <w:pgMar w:top="1674" w:right="847" w:bottom="1264" w:left="850" w:header="720" w:footer="720" w:gutter="0"/>
          <w:cols w:num="2" w:space="341"/>
        </w:sectPr>
      </w:pPr>
    </w:p>
    <w:p w:rsidR="009220C5" w:rsidRDefault="00AF6027">
      <w:pPr>
        <w:spacing w:after="0" w:line="260" w:lineRule="auto"/>
        <w:ind w:left="12" w:right="0" w:hanging="10"/>
      </w:pPr>
      <w:r>
        <w:rPr>
          <w:sz w:val="18"/>
        </w:rPr>
        <w:t>Table 1 - Characteristics of SEMINA patients and comparison between  patients with  sepsis  and those with septic shock.</w:t>
      </w:r>
    </w:p>
    <w:tbl>
      <w:tblPr>
        <w:tblStyle w:val="TableGrid"/>
        <w:tblW w:w="8329" w:type="dxa"/>
        <w:tblInd w:w="2" w:type="dxa"/>
        <w:tblCellMar>
          <w:top w:w="26" w:type="dxa"/>
          <w:left w:w="0" w:type="dxa"/>
          <w:bottom w:w="17" w:type="dxa"/>
          <w:right w:w="115" w:type="dxa"/>
        </w:tblCellMar>
        <w:tblLook w:val="04A0" w:firstRow="1" w:lastRow="0" w:firstColumn="1" w:lastColumn="0" w:noHBand="0" w:noVBand="1"/>
      </w:tblPr>
      <w:tblGrid>
        <w:gridCol w:w="3327"/>
        <w:gridCol w:w="1396"/>
        <w:gridCol w:w="1169"/>
        <w:gridCol w:w="1498"/>
        <w:gridCol w:w="939"/>
      </w:tblGrid>
      <w:tr w:rsidR="009220C5">
        <w:trPr>
          <w:trHeight w:val="470"/>
        </w:trPr>
        <w:tc>
          <w:tcPr>
            <w:tcW w:w="3327" w:type="dxa"/>
            <w:tcBorders>
              <w:top w:val="single" w:sz="2" w:space="0" w:color="000000"/>
              <w:left w:val="nil"/>
              <w:bottom w:val="single" w:sz="2" w:space="0" w:color="000000"/>
              <w:right w:val="nil"/>
            </w:tcBorders>
          </w:tcPr>
          <w:p w:rsidR="009220C5" w:rsidRDefault="009220C5">
            <w:pPr>
              <w:spacing w:after="160" w:line="259" w:lineRule="auto"/>
              <w:ind w:right="0" w:firstLine="0"/>
              <w:jc w:val="left"/>
            </w:pPr>
          </w:p>
        </w:tc>
        <w:tc>
          <w:tcPr>
            <w:tcW w:w="1396" w:type="dxa"/>
            <w:tcBorders>
              <w:top w:val="single" w:sz="2" w:space="0" w:color="000000"/>
              <w:left w:val="nil"/>
              <w:bottom w:val="single" w:sz="2" w:space="0" w:color="000000"/>
              <w:right w:val="nil"/>
            </w:tcBorders>
          </w:tcPr>
          <w:p w:rsidR="009220C5" w:rsidRDefault="00AF6027">
            <w:pPr>
              <w:spacing w:after="0" w:line="259" w:lineRule="auto"/>
              <w:ind w:left="187" w:right="0" w:hanging="187"/>
              <w:jc w:val="left"/>
            </w:pPr>
            <w:r>
              <w:rPr>
                <w:sz w:val="18"/>
              </w:rPr>
              <w:t>All patients n=359</w:t>
            </w:r>
          </w:p>
        </w:tc>
        <w:tc>
          <w:tcPr>
            <w:tcW w:w="1169" w:type="dxa"/>
            <w:tcBorders>
              <w:top w:val="single" w:sz="2" w:space="0" w:color="000000"/>
              <w:left w:val="nil"/>
              <w:bottom w:val="single" w:sz="2" w:space="0" w:color="000000"/>
              <w:right w:val="nil"/>
            </w:tcBorders>
          </w:tcPr>
          <w:p w:rsidR="009220C5" w:rsidRDefault="00AF6027">
            <w:pPr>
              <w:spacing w:after="0" w:line="259" w:lineRule="auto"/>
              <w:ind w:left="101" w:right="30" w:firstLine="1"/>
              <w:jc w:val="left"/>
            </w:pPr>
            <w:r>
              <w:rPr>
                <w:sz w:val="18"/>
              </w:rPr>
              <w:t>Sepsis n=294</w:t>
            </w:r>
          </w:p>
        </w:tc>
        <w:tc>
          <w:tcPr>
            <w:tcW w:w="1498" w:type="dxa"/>
            <w:tcBorders>
              <w:top w:val="single" w:sz="2" w:space="0" w:color="000000"/>
              <w:left w:val="nil"/>
              <w:bottom w:val="single" w:sz="2" w:space="0" w:color="000000"/>
              <w:right w:val="nil"/>
            </w:tcBorders>
          </w:tcPr>
          <w:p w:rsidR="009220C5" w:rsidRDefault="00AF6027">
            <w:pPr>
              <w:spacing w:after="0" w:line="259" w:lineRule="auto"/>
              <w:ind w:left="287" w:right="21" w:hanging="287"/>
              <w:jc w:val="left"/>
            </w:pPr>
            <w:r>
              <w:rPr>
                <w:sz w:val="18"/>
              </w:rPr>
              <w:t>Septic Shock n=65</w:t>
            </w:r>
          </w:p>
        </w:tc>
        <w:tc>
          <w:tcPr>
            <w:tcW w:w="939" w:type="dxa"/>
            <w:tcBorders>
              <w:top w:val="single" w:sz="2" w:space="0" w:color="000000"/>
              <w:left w:val="nil"/>
              <w:bottom w:val="single" w:sz="2" w:space="0" w:color="000000"/>
              <w:right w:val="nil"/>
            </w:tcBorders>
            <w:vAlign w:val="center"/>
          </w:tcPr>
          <w:p w:rsidR="009220C5" w:rsidRDefault="00AF6027">
            <w:pPr>
              <w:spacing w:after="0" w:line="259" w:lineRule="auto"/>
              <w:ind w:right="0" w:firstLine="0"/>
              <w:jc w:val="left"/>
            </w:pPr>
            <w:r>
              <w:rPr>
                <w:b/>
                <w:sz w:val="18"/>
              </w:rPr>
              <w:t>p-value</w:t>
            </w:r>
          </w:p>
        </w:tc>
      </w:tr>
      <w:tr w:rsidR="009220C5">
        <w:trPr>
          <w:trHeight w:val="517"/>
        </w:trPr>
        <w:tc>
          <w:tcPr>
            <w:tcW w:w="3327" w:type="dxa"/>
            <w:tcBorders>
              <w:top w:val="single" w:sz="2" w:space="0" w:color="000000"/>
              <w:left w:val="nil"/>
              <w:bottom w:val="nil"/>
              <w:right w:val="nil"/>
            </w:tcBorders>
          </w:tcPr>
          <w:p w:rsidR="009220C5" w:rsidRDefault="00AF6027">
            <w:pPr>
              <w:spacing w:after="29" w:line="259" w:lineRule="auto"/>
              <w:ind w:left="57" w:right="0" w:firstLine="0"/>
              <w:jc w:val="left"/>
            </w:pPr>
            <w:r>
              <w:rPr>
                <w:sz w:val="18"/>
              </w:rPr>
              <w:t>Patients Characteristics</w:t>
            </w:r>
          </w:p>
          <w:p w:rsidR="009220C5" w:rsidRDefault="00AF6027">
            <w:pPr>
              <w:spacing w:after="0" w:line="259" w:lineRule="auto"/>
              <w:ind w:left="227" w:right="0" w:firstLine="0"/>
              <w:jc w:val="left"/>
            </w:pPr>
            <w:r>
              <w:rPr>
                <w:sz w:val="18"/>
              </w:rPr>
              <w:t>Age (Mean±SD)</w:t>
            </w:r>
          </w:p>
        </w:tc>
        <w:tc>
          <w:tcPr>
            <w:tcW w:w="1396" w:type="dxa"/>
            <w:tcBorders>
              <w:top w:val="single" w:sz="2" w:space="0" w:color="000000"/>
              <w:left w:val="nil"/>
              <w:bottom w:val="nil"/>
              <w:right w:val="nil"/>
            </w:tcBorders>
            <w:vAlign w:val="bottom"/>
          </w:tcPr>
          <w:p w:rsidR="009220C5" w:rsidRDefault="00AF6027">
            <w:pPr>
              <w:spacing w:after="0" w:line="259" w:lineRule="auto"/>
              <w:ind w:left="142" w:right="0" w:firstLine="0"/>
              <w:jc w:val="left"/>
            </w:pPr>
            <w:r>
              <w:rPr>
                <w:sz w:val="18"/>
              </w:rPr>
              <w:t xml:space="preserve">78 </w:t>
            </w:r>
            <w:r>
              <w:rPr>
                <w:sz w:val="18"/>
                <w:u w:val="single" w:color="000000"/>
              </w:rPr>
              <w:t>+</w:t>
            </w:r>
            <w:r>
              <w:rPr>
                <w:sz w:val="18"/>
              </w:rPr>
              <w:t xml:space="preserve"> 13</w:t>
            </w:r>
          </w:p>
        </w:tc>
        <w:tc>
          <w:tcPr>
            <w:tcW w:w="1169" w:type="dxa"/>
            <w:tcBorders>
              <w:top w:val="single" w:sz="2" w:space="0" w:color="000000"/>
              <w:left w:val="nil"/>
              <w:bottom w:val="nil"/>
              <w:right w:val="nil"/>
            </w:tcBorders>
            <w:vAlign w:val="bottom"/>
          </w:tcPr>
          <w:p w:rsidR="009220C5" w:rsidRDefault="00AF6027">
            <w:pPr>
              <w:spacing w:after="0" w:line="259" w:lineRule="auto"/>
              <w:ind w:left="78" w:right="0" w:firstLine="0"/>
              <w:jc w:val="left"/>
            </w:pPr>
            <w:r>
              <w:rPr>
                <w:sz w:val="18"/>
              </w:rPr>
              <w:t xml:space="preserve">78 </w:t>
            </w:r>
            <w:r>
              <w:rPr>
                <w:sz w:val="18"/>
                <w:u w:val="single" w:color="000000"/>
              </w:rPr>
              <w:t>+</w:t>
            </w:r>
            <w:r>
              <w:rPr>
                <w:sz w:val="18"/>
              </w:rPr>
              <w:t>12</w:t>
            </w:r>
          </w:p>
        </w:tc>
        <w:tc>
          <w:tcPr>
            <w:tcW w:w="1498" w:type="dxa"/>
            <w:tcBorders>
              <w:top w:val="single" w:sz="2" w:space="0" w:color="000000"/>
              <w:left w:val="nil"/>
              <w:bottom w:val="nil"/>
              <w:right w:val="nil"/>
            </w:tcBorders>
            <w:vAlign w:val="bottom"/>
          </w:tcPr>
          <w:p w:rsidR="009220C5" w:rsidRDefault="00AF6027">
            <w:pPr>
              <w:spacing w:after="0" w:line="259" w:lineRule="auto"/>
              <w:ind w:left="242" w:right="0" w:firstLine="0"/>
              <w:jc w:val="left"/>
            </w:pPr>
            <w:r>
              <w:rPr>
                <w:sz w:val="18"/>
              </w:rPr>
              <w:t>78</w:t>
            </w:r>
            <w:r>
              <w:rPr>
                <w:sz w:val="18"/>
                <w:u w:val="single" w:color="000000"/>
              </w:rPr>
              <w:t>+</w:t>
            </w:r>
            <w:r>
              <w:rPr>
                <w:sz w:val="18"/>
              </w:rPr>
              <w:t>14</w:t>
            </w:r>
          </w:p>
        </w:tc>
        <w:tc>
          <w:tcPr>
            <w:tcW w:w="939" w:type="dxa"/>
            <w:tcBorders>
              <w:top w:val="single" w:sz="2" w:space="0" w:color="000000"/>
              <w:left w:val="nil"/>
              <w:bottom w:val="nil"/>
              <w:right w:val="nil"/>
            </w:tcBorders>
            <w:vAlign w:val="bottom"/>
          </w:tcPr>
          <w:p w:rsidR="009220C5" w:rsidRDefault="00AF6027">
            <w:pPr>
              <w:spacing w:after="0" w:line="259" w:lineRule="auto"/>
              <w:ind w:left="82" w:right="0" w:firstLine="0"/>
              <w:jc w:val="left"/>
            </w:pPr>
            <w:r>
              <w:rPr>
                <w:sz w:val="18"/>
              </w:rPr>
              <w:t>0.952</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7" w:right="0" w:firstLine="0"/>
              <w:jc w:val="left"/>
            </w:pPr>
            <w:r>
              <w:rPr>
                <w:sz w:val="18"/>
              </w:rPr>
              <w:t>Female sex (%)</w:t>
            </w:r>
          </w:p>
        </w:tc>
        <w:tc>
          <w:tcPr>
            <w:tcW w:w="1396" w:type="dxa"/>
            <w:tcBorders>
              <w:top w:val="nil"/>
              <w:left w:val="nil"/>
              <w:bottom w:val="nil"/>
              <w:right w:val="nil"/>
            </w:tcBorders>
          </w:tcPr>
          <w:p w:rsidR="009220C5" w:rsidRDefault="00AF6027">
            <w:pPr>
              <w:spacing w:after="0" w:line="259" w:lineRule="auto"/>
              <w:ind w:left="260" w:right="0" w:firstLine="0"/>
              <w:jc w:val="left"/>
            </w:pPr>
            <w:r>
              <w:rPr>
                <w:sz w:val="18"/>
              </w:rPr>
              <w:t>55.7</w:t>
            </w:r>
          </w:p>
        </w:tc>
        <w:tc>
          <w:tcPr>
            <w:tcW w:w="1169" w:type="dxa"/>
            <w:tcBorders>
              <w:top w:val="nil"/>
              <w:left w:val="nil"/>
              <w:bottom w:val="nil"/>
              <w:right w:val="nil"/>
            </w:tcBorders>
          </w:tcPr>
          <w:p w:rsidR="009220C5" w:rsidRDefault="00AF6027">
            <w:pPr>
              <w:spacing w:after="0" w:line="259" w:lineRule="auto"/>
              <w:ind w:left="174" w:right="0" w:firstLine="0"/>
              <w:jc w:val="left"/>
            </w:pPr>
            <w:r>
              <w:rPr>
                <w:sz w:val="18"/>
              </w:rPr>
              <w:t>52.4</w:t>
            </w:r>
          </w:p>
        </w:tc>
        <w:tc>
          <w:tcPr>
            <w:tcW w:w="1498" w:type="dxa"/>
            <w:tcBorders>
              <w:top w:val="nil"/>
              <w:left w:val="nil"/>
              <w:bottom w:val="nil"/>
              <w:right w:val="nil"/>
            </w:tcBorders>
          </w:tcPr>
          <w:p w:rsidR="009220C5" w:rsidRDefault="00AF6027">
            <w:pPr>
              <w:spacing w:after="0" w:line="259" w:lineRule="auto"/>
              <w:ind w:left="315" w:right="0" w:firstLine="0"/>
              <w:jc w:val="left"/>
            </w:pPr>
            <w:r>
              <w:rPr>
                <w:sz w:val="18"/>
              </w:rPr>
              <w:t>70.8</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0.007</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Admitted from home (%)</w:t>
            </w:r>
          </w:p>
        </w:tc>
        <w:tc>
          <w:tcPr>
            <w:tcW w:w="1396" w:type="dxa"/>
            <w:tcBorders>
              <w:top w:val="nil"/>
              <w:left w:val="nil"/>
              <w:bottom w:val="nil"/>
              <w:right w:val="nil"/>
            </w:tcBorders>
          </w:tcPr>
          <w:p w:rsidR="009220C5" w:rsidRDefault="00AF6027">
            <w:pPr>
              <w:spacing w:after="0" w:line="259" w:lineRule="auto"/>
              <w:ind w:left="260" w:right="0" w:firstLine="0"/>
              <w:jc w:val="left"/>
            </w:pPr>
            <w:r>
              <w:rPr>
                <w:sz w:val="18"/>
              </w:rPr>
              <w:t>82.5</w:t>
            </w:r>
          </w:p>
        </w:tc>
        <w:tc>
          <w:tcPr>
            <w:tcW w:w="1169" w:type="dxa"/>
            <w:tcBorders>
              <w:top w:val="nil"/>
              <w:left w:val="nil"/>
              <w:bottom w:val="nil"/>
              <w:right w:val="nil"/>
            </w:tcBorders>
          </w:tcPr>
          <w:p w:rsidR="009220C5" w:rsidRDefault="00AF6027">
            <w:pPr>
              <w:spacing w:after="0" w:line="259" w:lineRule="auto"/>
              <w:ind w:left="174" w:right="0" w:firstLine="0"/>
              <w:jc w:val="left"/>
            </w:pPr>
            <w:r>
              <w:rPr>
                <w:sz w:val="18"/>
              </w:rPr>
              <w:t>85.7</w:t>
            </w:r>
          </w:p>
        </w:tc>
        <w:tc>
          <w:tcPr>
            <w:tcW w:w="1498" w:type="dxa"/>
            <w:tcBorders>
              <w:top w:val="nil"/>
              <w:left w:val="nil"/>
              <w:bottom w:val="nil"/>
              <w:right w:val="nil"/>
            </w:tcBorders>
          </w:tcPr>
          <w:p w:rsidR="009220C5" w:rsidRDefault="00AF6027">
            <w:pPr>
              <w:spacing w:after="0" w:line="259" w:lineRule="auto"/>
              <w:ind w:left="315" w:right="0" w:firstLine="0"/>
              <w:jc w:val="left"/>
            </w:pPr>
            <w:r>
              <w:rPr>
                <w:sz w:val="18"/>
              </w:rPr>
              <w:t>70.8</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0.004</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Admitted from nursing home (%)</w:t>
            </w:r>
          </w:p>
        </w:tc>
        <w:tc>
          <w:tcPr>
            <w:tcW w:w="1396" w:type="dxa"/>
            <w:tcBorders>
              <w:top w:val="nil"/>
              <w:left w:val="nil"/>
              <w:bottom w:val="nil"/>
              <w:right w:val="nil"/>
            </w:tcBorders>
          </w:tcPr>
          <w:p w:rsidR="009220C5" w:rsidRDefault="00AF6027">
            <w:pPr>
              <w:spacing w:after="0" w:line="259" w:lineRule="auto"/>
              <w:ind w:left="259" w:right="0" w:firstLine="0"/>
              <w:jc w:val="left"/>
            </w:pPr>
            <w:r>
              <w:rPr>
                <w:sz w:val="18"/>
              </w:rPr>
              <w:t>11.7</w:t>
            </w:r>
          </w:p>
        </w:tc>
        <w:tc>
          <w:tcPr>
            <w:tcW w:w="1169" w:type="dxa"/>
            <w:tcBorders>
              <w:top w:val="nil"/>
              <w:left w:val="nil"/>
              <w:bottom w:val="nil"/>
              <w:right w:val="nil"/>
            </w:tcBorders>
          </w:tcPr>
          <w:p w:rsidR="009220C5" w:rsidRDefault="00AF6027">
            <w:pPr>
              <w:spacing w:after="0" w:line="259" w:lineRule="auto"/>
              <w:ind w:left="219" w:right="0" w:firstLine="0"/>
              <w:jc w:val="left"/>
            </w:pPr>
            <w:r>
              <w:rPr>
                <w:sz w:val="18"/>
              </w:rPr>
              <w:t>9.5</w:t>
            </w:r>
          </w:p>
        </w:tc>
        <w:tc>
          <w:tcPr>
            <w:tcW w:w="1498" w:type="dxa"/>
            <w:tcBorders>
              <w:top w:val="nil"/>
              <w:left w:val="nil"/>
              <w:bottom w:val="nil"/>
              <w:right w:val="nil"/>
            </w:tcBorders>
          </w:tcPr>
          <w:p w:rsidR="009220C5" w:rsidRDefault="00AF6027">
            <w:pPr>
              <w:spacing w:after="0" w:line="259" w:lineRule="auto"/>
              <w:ind w:left="315" w:right="0" w:firstLine="0"/>
              <w:jc w:val="left"/>
            </w:pPr>
            <w:r>
              <w:rPr>
                <w:sz w:val="18"/>
              </w:rPr>
              <w:t>21.5</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0.006</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Previous use of antibiotics (%)</w:t>
            </w:r>
          </w:p>
        </w:tc>
        <w:tc>
          <w:tcPr>
            <w:tcW w:w="1396" w:type="dxa"/>
            <w:tcBorders>
              <w:top w:val="nil"/>
              <w:left w:val="nil"/>
              <w:bottom w:val="nil"/>
              <w:right w:val="nil"/>
            </w:tcBorders>
          </w:tcPr>
          <w:p w:rsidR="009220C5" w:rsidRDefault="00AF6027">
            <w:pPr>
              <w:spacing w:after="0" w:line="259" w:lineRule="auto"/>
              <w:ind w:left="259" w:right="0" w:firstLine="0"/>
              <w:jc w:val="left"/>
            </w:pPr>
            <w:r>
              <w:rPr>
                <w:sz w:val="18"/>
              </w:rPr>
              <w:t>32.9</w:t>
            </w:r>
          </w:p>
        </w:tc>
        <w:tc>
          <w:tcPr>
            <w:tcW w:w="1169" w:type="dxa"/>
            <w:tcBorders>
              <w:top w:val="nil"/>
              <w:left w:val="nil"/>
              <w:bottom w:val="nil"/>
              <w:right w:val="nil"/>
            </w:tcBorders>
          </w:tcPr>
          <w:p w:rsidR="009220C5" w:rsidRDefault="00AF6027">
            <w:pPr>
              <w:spacing w:after="0" w:line="259" w:lineRule="auto"/>
              <w:ind w:left="173" w:right="0" w:firstLine="0"/>
              <w:jc w:val="left"/>
            </w:pPr>
            <w:r>
              <w:rPr>
                <w:sz w:val="18"/>
              </w:rPr>
              <w:t>29.6</w:t>
            </w:r>
          </w:p>
        </w:tc>
        <w:tc>
          <w:tcPr>
            <w:tcW w:w="1498" w:type="dxa"/>
            <w:tcBorders>
              <w:top w:val="nil"/>
              <w:left w:val="nil"/>
              <w:bottom w:val="nil"/>
              <w:right w:val="nil"/>
            </w:tcBorders>
          </w:tcPr>
          <w:p w:rsidR="009220C5" w:rsidRDefault="00AF6027">
            <w:pPr>
              <w:spacing w:after="0" w:line="259" w:lineRule="auto"/>
              <w:ind w:left="314" w:right="0" w:firstLine="0"/>
              <w:jc w:val="left"/>
            </w:pPr>
            <w:r>
              <w:rPr>
                <w:sz w:val="18"/>
              </w:rPr>
              <w:t>47.7</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0.005</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Hospital acquired sepsis n (%)</w:t>
            </w:r>
          </w:p>
        </w:tc>
        <w:tc>
          <w:tcPr>
            <w:tcW w:w="1396" w:type="dxa"/>
            <w:tcBorders>
              <w:top w:val="nil"/>
              <w:left w:val="nil"/>
              <w:bottom w:val="nil"/>
              <w:right w:val="nil"/>
            </w:tcBorders>
          </w:tcPr>
          <w:p w:rsidR="009220C5" w:rsidRDefault="00AF6027">
            <w:pPr>
              <w:spacing w:after="0" w:line="259" w:lineRule="auto"/>
              <w:ind w:left="199" w:right="0" w:firstLine="0"/>
              <w:jc w:val="left"/>
            </w:pPr>
            <w:r>
              <w:rPr>
                <w:sz w:val="18"/>
              </w:rPr>
              <w:t>25 (7)</w:t>
            </w:r>
          </w:p>
        </w:tc>
        <w:tc>
          <w:tcPr>
            <w:tcW w:w="1169" w:type="dxa"/>
            <w:tcBorders>
              <w:top w:val="nil"/>
              <w:left w:val="nil"/>
              <w:bottom w:val="nil"/>
              <w:right w:val="nil"/>
            </w:tcBorders>
          </w:tcPr>
          <w:p w:rsidR="009220C5" w:rsidRDefault="00AF6027">
            <w:pPr>
              <w:spacing w:after="0" w:line="259" w:lineRule="auto"/>
              <w:ind w:left="46" w:right="0" w:firstLine="0"/>
              <w:jc w:val="left"/>
            </w:pPr>
            <w:r>
              <w:rPr>
                <w:sz w:val="18"/>
              </w:rPr>
              <w:t>20 (6.8)</w:t>
            </w:r>
          </w:p>
        </w:tc>
        <w:tc>
          <w:tcPr>
            <w:tcW w:w="1498" w:type="dxa"/>
            <w:tcBorders>
              <w:top w:val="nil"/>
              <w:left w:val="nil"/>
              <w:bottom w:val="nil"/>
              <w:right w:val="nil"/>
            </w:tcBorders>
          </w:tcPr>
          <w:p w:rsidR="009220C5" w:rsidRDefault="00AF6027">
            <w:pPr>
              <w:spacing w:after="0" w:line="259" w:lineRule="auto"/>
              <w:ind w:left="232" w:right="0" w:firstLine="0"/>
              <w:jc w:val="left"/>
            </w:pPr>
            <w:r>
              <w:rPr>
                <w:sz w:val="18"/>
              </w:rPr>
              <w:t>5 (7.7)</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0.789</w:t>
            </w:r>
          </w:p>
        </w:tc>
      </w:tr>
      <w:tr w:rsidR="009220C5">
        <w:trPr>
          <w:trHeight w:val="508"/>
        </w:trPr>
        <w:tc>
          <w:tcPr>
            <w:tcW w:w="3327" w:type="dxa"/>
            <w:tcBorders>
              <w:top w:val="nil"/>
              <w:left w:val="nil"/>
              <w:bottom w:val="nil"/>
              <w:right w:val="nil"/>
            </w:tcBorders>
          </w:tcPr>
          <w:p w:rsidR="009220C5" w:rsidRDefault="00AF6027">
            <w:pPr>
              <w:spacing w:after="0" w:line="259" w:lineRule="auto"/>
              <w:ind w:left="226" w:right="1182" w:hanging="170"/>
              <w:jc w:val="left"/>
            </w:pPr>
            <w:r>
              <w:rPr>
                <w:sz w:val="18"/>
              </w:rPr>
              <w:t>Comorbidities (%) Diabetes</w:t>
            </w:r>
          </w:p>
        </w:tc>
        <w:tc>
          <w:tcPr>
            <w:tcW w:w="1396" w:type="dxa"/>
            <w:tcBorders>
              <w:top w:val="nil"/>
              <w:left w:val="nil"/>
              <w:bottom w:val="nil"/>
              <w:right w:val="nil"/>
            </w:tcBorders>
            <w:vAlign w:val="bottom"/>
          </w:tcPr>
          <w:p w:rsidR="009220C5" w:rsidRDefault="00AF6027">
            <w:pPr>
              <w:spacing w:after="0" w:line="259" w:lineRule="auto"/>
              <w:ind w:left="259" w:right="0" w:firstLine="0"/>
              <w:jc w:val="left"/>
            </w:pPr>
            <w:r>
              <w:rPr>
                <w:sz w:val="18"/>
              </w:rPr>
              <w:t>36.8</w:t>
            </w:r>
          </w:p>
        </w:tc>
        <w:tc>
          <w:tcPr>
            <w:tcW w:w="1169" w:type="dxa"/>
            <w:tcBorders>
              <w:top w:val="nil"/>
              <w:left w:val="nil"/>
              <w:bottom w:val="nil"/>
              <w:right w:val="nil"/>
            </w:tcBorders>
            <w:vAlign w:val="bottom"/>
          </w:tcPr>
          <w:p w:rsidR="009220C5" w:rsidRDefault="00AF6027">
            <w:pPr>
              <w:spacing w:after="0" w:line="259" w:lineRule="auto"/>
              <w:ind w:left="173" w:right="0" w:firstLine="0"/>
              <w:jc w:val="left"/>
            </w:pPr>
            <w:r>
              <w:rPr>
                <w:sz w:val="18"/>
              </w:rPr>
              <w:t>38.1</w:t>
            </w:r>
          </w:p>
        </w:tc>
        <w:tc>
          <w:tcPr>
            <w:tcW w:w="1498" w:type="dxa"/>
            <w:tcBorders>
              <w:top w:val="nil"/>
              <w:left w:val="nil"/>
              <w:bottom w:val="nil"/>
              <w:right w:val="nil"/>
            </w:tcBorders>
            <w:vAlign w:val="bottom"/>
          </w:tcPr>
          <w:p w:rsidR="009220C5" w:rsidRDefault="00AF6027">
            <w:pPr>
              <w:spacing w:after="0" w:line="259" w:lineRule="auto"/>
              <w:ind w:left="314" w:right="0" w:firstLine="0"/>
              <w:jc w:val="left"/>
            </w:pPr>
            <w:r>
              <w:rPr>
                <w:sz w:val="18"/>
              </w:rPr>
              <w:t>30.8</w:t>
            </w:r>
          </w:p>
        </w:tc>
        <w:tc>
          <w:tcPr>
            <w:tcW w:w="939" w:type="dxa"/>
            <w:tcBorders>
              <w:top w:val="nil"/>
              <w:left w:val="nil"/>
              <w:bottom w:val="nil"/>
              <w:right w:val="nil"/>
            </w:tcBorders>
            <w:vAlign w:val="bottom"/>
          </w:tcPr>
          <w:p w:rsidR="009220C5" w:rsidRDefault="00AF6027">
            <w:pPr>
              <w:spacing w:after="0" w:line="259" w:lineRule="auto"/>
              <w:ind w:left="81" w:right="0" w:firstLine="0"/>
              <w:jc w:val="left"/>
            </w:pPr>
            <w:r>
              <w:rPr>
                <w:sz w:val="18"/>
              </w:rPr>
              <w:t>0.268</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Coronary Artery Disease</w:t>
            </w:r>
          </w:p>
        </w:tc>
        <w:tc>
          <w:tcPr>
            <w:tcW w:w="1396" w:type="dxa"/>
            <w:tcBorders>
              <w:top w:val="nil"/>
              <w:left w:val="nil"/>
              <w:bottom w:val="nil"/>
              <w:right w:val="nil"/>
            </w:tcBorders>
          </w:tcPr>
          <w:p w:rsidR="009220C5" w:rsidRDefault="00AF6027">
            <w:pPr>
              <w:spacing w:after="0" w:line="259" w:lineRule="auto"/>
              <w:ind w:left="259" w:right="0" w:firstLine="0"/>
              <w:jc w:val="left"/>
            </w:pPr>
            <w:r>
              <w:rPr>
                <w:sz w:val="18"/>
              </w:rPr>
              <w:t>18.9</w:t>
            </w:r>
          </w:p>
        </w:tc>
        <w:tc>
          <w:tcPr>
            <w:tcW w:w="1169" w:type="dxa"/>
            <w:tcBorders>
              <w:top w:val="nil"/>
              <w:left w:val="nil"/>
              <w:bottom w:val="nil"/>
              <w:right w:val="nil"/>
            </w:tcBorders>
          </w:tcPr>
          <w:p w:rsidR="009220C5" w:rsidRDefault="00AF6027">
            <w:pPr>
              <w:spacing w:after="0" w:line="259" w:lineRule="auto"/>
              <w:ind w:left="173" w:right="0" w:firstLine="0"/>
              <w:jc w:val="left"/>
            </w:pPr>
            <w:r>
              <w:rPr>
                <w:sz w:val="18"/>
              </w:rPr>
              <w:t>19.0</w:t>
            </w:r>
          </w:p>
        </w:tc>
        <w:tc>
          <w:tcPr>
            <w:tcW w:w="1498" w:type="dxa"/>
            <w:tcBorders>
              <w:top w:val="nil"/>
              <w:left w:val="nil"/>
              <w:bottom w:val="nil"/>
              <w:right w:val="nil"/>
            </w:tcBorders>
          </w:tcPr>
          <w:p w:rsidR="009220C5" w:rsidRDefault="00AF6027">
            <w:pPr>
              <w:spacing w:after="0" w:line="259" w:lineRule="auto"/>
              <w:ind w:left="314" w:right="0" w:firstLine="0"/>
              <w:jc w:val="left"/>
            </w:pPr>
            <w:r>
              <w:rPr>
                <w:sz w:val="18"/>
              </w:rPr>
              <w:t>18.5</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0.913</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 xml:space="preserve">Heart Failure </w:t>
            </w:r>
          </w:p>
        </w:tc>
        <w:tc>
          <w:tcPr>
            <w:tcW w:w="1396" w:type="dxa"/>
            <w:tcBorders>
              <w:top w:val="nil"/>
              <w:left w:val="nil"/>
              <w:bottom w:val="nil"/>
              <w:right w:val="nil"/>
            </w:tcBorders>
          </w:tcPr>
          <w:p w:rsidR="009220C5" w:rsidRDefault="00AF6027">
            <w:pPr>
              <w:spacing w:after="0" w:line="259" w:lineRule="auto"/>
              <w:ind w:left="259" w:right="0" w:firstLine="0"/>
              <w:jc w:val="left"/>
            </w:pPr>
            <w:r>
              <w:rPr>
                <w:sz w:val="18"/>
              </w:rPr>
              <w:t>44.8</w:t>
            </w:r>
          </w:p>
        </w:tc>
        <w:tc>
          <w:tcPr>
            <w:tcW w:w="1169" w:type="dxa"/>
            <w:tcBorders>
              <w:top w:val="nil"/>
              <w:left w:val="nil"/>
              <w:bottom w:val="nil"/>
              <w:right w:val="nil"/>
            </w:tcBorders>
          </w:tcPr>
          <w:p w:rsidR="009220C5" w:rsidRDefault="00AF6027">
            <w:pPr>
              <w:spacing w:after="0" w:line="259" w:lineRule="auto"/>
              <w:ind w:left="173" w:right="0" w:firstLine="0"/>
              <w:jc w:val="left"/>
            </w:pPr>
            <w:r>
              <w:rPr>
                <w:sz w:val="18"/>
              </w:rPr>
              <w:t>43.5</w:t>
            </w:r>
          </w:p>
        </w:tc>
        <w:tc>
          <w:tcPr>
            <w:tcW w:w="1498" w:type="dxa"/>
            <w:tcBorders>
              <w:top w:val="nil"/>
              <w:left w:val="nil"/>
              <w:bottom w:val="nil"/>
              <w:right w:val="nil"/>
            </w:tcBorders>
          </w:tcPr>
          <w:p w:rsidR="009220C5" w:rsidRDefault="00AF6027">
            <w:pPr>
              <w:spacing w:after="0" w:line="259" w:lineRule="auto"/>
              <w:ind w:left="314" w:right="0" w:firstLine="0"/>
              <w:jc w:val="left"/>
            </w:pPr>
            <w:r>
              <w:rPr>
                <w:sz w:val="18"/>
              </w:rPr>
              <w:t>50.8</w:t>
            </w:r>
          </w:p>
        </w:tc>
        <w:tc>
          <w:tcPr>
            <w:tcW w:w="939" w:type="dxa"/>
            <w:tcBorders>
              <w:top w:val="nil"/>
              <w:left w:val="nil"/>
              <w:bottom w:val="nil"/>
              <w:right w:val="nil"/>
            </w:tcBorders>
          </w:tcPr>
          <w:p w:rsidR="009220C5" w:rsidRDefault="00AF6027">
            <w:pPr>
              <w:spacing w:after="0" w:line="259" w:lineRule="auto"/>
              <w:ind w:left="80" w:right="0" w:firstLine="0"/>
              <w:jc w:val="left"/>
            </w:pPr>
            <w:r>
              <w:rPr>
                <w:sz w:val="18"/>
              </w:rPr>
              <w:t>0.289</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COPD</w:t>
            </w:r>
          </w:p>
        </w:tc>
        <w:tc>
          <w:tcPr>
            <w:tcW w:w="1396" w:type="dxa"/>
            <w:tcBorders>
              <w:top w:val="nil"/>
              <w:left w:val="nil"/>
              <w:bottom w:val="nil"/>
              <w:right w:val="nil"/>
            </w:tcBorders>
          </w:tcPr>
          <w:p w:rsidR="009220C5" w:rsidRDefault="00AF6027">
            <w:pPr>
              <w:spacing w:after="0" w:line="259" w:lineRule="auto"/>
              <w:ind w:left="259" w:right="0" w:firstLine="0"/>
              <w:jc w:val="left"/>
            </w:pPr>
            <w:r>
              <w:rPr>
                <w:sz w:val="18"/>
              </w:rPr>
              <w:t>29.5</w:t>
            </w:r>
          </w:p>
        </w:tc>
        <w:tc>
          <w:tcPr>
            <w:tcW w:w="1169" w:type="dxa"/>
            <w:tcBorders>
              <w:top w:val="nil"/>
              <w:left w:val="nil"/>
              <w:bottom w:val="nil"/>
              <w:right w:val="nil"/>
            </w:tcBorders>
          </w:tcPr>
          <w:p w:rsidR="009220C5" w:rsidRDefault="00AF6027">
            <w:pPr>
              <w:spacing w:after="0" w:line="259" w:lineRule="auto"/>
              <w:ind w:left="173" w:right="0" w:firstLine="0"/>
              <w:jc w:val="left"/>
            </w:pPr>
            <w:r>
              <w:rPr>
                <w:sz w:val="18"/>
              </w:rPr>
              <w:t>29.9</w:t>
            </w:r>
          </w:p>
        </w:tc>
        <w:tc>
          <w:tcPr>
            <w:tcW w:w="1498" w:type="dxa"/>
            <w:tcBorders>
              <w:top w:val="nil"/>
              <w:left w:val="nil"/>
              <w:bottom w:val="nil"/>
              <w:right w:val="nil"/>
            </w:tcBorders>
          </w:tcPr>
          <w:p w:rsidR="009220C5" w:rsidRDefault="00AF6027">
            <w:pPr>
              <w:spacing w:after="0" w:line="259" w:lineRule="auto"/>
              <w:ind w:left="314" w:right="0" w:firstLine="0"/>
              <w:jc w:val="left"/>
            </w:pPr>
            <w:r>
              <w:rPr>
                <w:sz w:val="18"/>
              </w:rPr>
              <w:t>27.7</w:t>
            </w:r>
          </w:p>
        </w:tc>
        <w:tc>
          <w:tcPr>
            <w:tcW w:w="939" w:type="dxa"/>
            <w:tcBorders>
              <w:top w:val="nil"/>
              <w:left w:val="nil"/>
              <w:bottom w:val="nil"/>
              <w:right w:val="nil"/>
            </w:tcBorders>
          </w:tcPr>
          <w:p w:rsidR="009220C5" w:rsidRDefault="00AF6027">
            <w:pPr>
              <w:spacing w:after="0" w:line="259" w:lineRule="auto"/>
              <w:ind w:left="80" w:right="0" w:firstLine="0"/>
              <w:jc w:val="left"/>
            </w:pPr>
            <w:r>
              <w:rPr>
                <w:sz w:val="18"/>
              </w:rPr>
              <w:t>0.720</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Cancer</w:t>
            </w:r>
          </w:p>
        </w:tc>
        <w:tc>
          <w:tcPr>
            <w:tcW w:w="1396" w:type="dxa"/>
            <w:tcBorders>
              <w:top w:val="nil"/>
              <w:left w:val="nil"/>
              <w:bottom w:val="nil"/>
              <w:right w:val="nil"/>
            </w:tcBorders>
          </w:tcPr>
          <w:p w:rsidR="009220C5" w:rsidRDefault="00AF6027">
            <w:pPr>
              <w:spacing w:after="0" w:line="259" w:lineRule="auto"/>
              <w:ind w:left="258" w:right="0" w:firstLine="0"/>
              <w:jc w:val="left"/>
            </w:pPr>
            <w:r>
              <w:rPr>
                <w:sz w:val="18"/>
              </w:rPr>
              <w:t>15.9</w:t>
            </w:r>
          </w:p>
        </w:tc>
        <w:tc>
          <w:tcPr>
            <w:tcW w:w="1169" w:type="dxa"/>
            <w:tcBorders>
              <w:top w:val="nil"/>
              <w:left w:val="nil"/>
              <w:bottom w:val="nil"/>
              <w:right w:val="nil"/>
            </w:tcBorders>
          </w:tcPr>
          <w:p w:rsidR="009220C5" w:rsidRDefault="00AF6027">
            <w:pPr>
              <w:spacing w:after="0" w:line="259" w:lineRule="auto"/>
              <w:ind w:left="172" w:right="0" w:firstLine="0"/>
              <w:jc w:val="left"/>
            </w:pPr>
            <w:r>
              <w:rPr>
                <w:sz w:val="18"/>
              </w:rPr>
              <w:t>17.3</w:t>
            </w:r>
          </w:p>
        </w:tc>
        <w:tc>
          <w:tcPr>
            <w:tcW w:w="1498" w:type="dxa"/>
            <w:tcBorders>
              <w:top w:val="nil"/>
              <w:left w:val="nil"/>
              <w:bottom w:val="nil"/>
              <w:right w:val="nil"/>
            </w:tcBorders>
          </w:tcPr>
          <w:p w:rsidR="009220C5" w:rsidRDefault="00AF6027">
            <w:pPr>
              <w:spacing w:after="0" w:line="259" w:lineRule="auto"/>
              <w:ind w:left="358" w:right="0" w:firstLine="0"/>
              <w:jc w:val="left"/>
            </w:pPr>
            <w:r>
              <w:rPr>
                <w:sz w:val="18"/>
              </w:rPr>
              <w:t>9.2</w:t>
            </w:r>
          </w:p>
        </w:tc>
        <w:tc>
          <w:tcPr>
            <w:tcW w:w="939" w:type="dxa"/>
            <w:tcBorders>
              <w:top w:val="nil"/>
              <w:left w:val="nil"/>
              <w:bottom w:val="nil"/>
              <w:right w:val="nil"/>
            </w:tcBorders>
          </w:tcPr>
          <w:p w:rsidR="009220C5" w:rsidRDefault="00AF6027">
            <w:pPr>
              <w:spacing w:after="0" w:line="259" w:lineRule="auto"/>
              <w:ind w:left="80" w:right="0" w:firstLine="0"/>
              <w:jc w:val="left"/>
            </w:pPr>
            <w:r>
              <w:rPr>
                <w:sz w:val="18"/>
              </w:rPr>
              <w:t>0.105</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 xml:space="preserve">Dementia </w:t>
            </w:r>
          </w:p>
        </w:tc>
        <w:tc>
          <w:tcPr>
            <w:tcW w:w="1396" w:type="dxa"/>
            <w:tcBorders>
              <w:top w:val="nil"/>
              <w:left w:val="nil"/>
              <w:bottom w:val="nil"/>
              <w:right w:val="nil"/>
            </w:tcBorders>
          </w:tcPr>
          <w:p w:rsidR="009220C5" w:rsidRDefault="00AF6027">
            <w:pPr>
              <w:spacing w:after="0" w:line="259" w:lineRule="auto"/>
              <w:ind w:left="258" w:right="0" w:firstLine="0"/>
              <w:jc w:val="left"/>
            </w:pPr>
            <w:r>
              <w:rPr>
                <w:sz w:val="18"/>
              </w:rPr>
              <w:t>35.4</w:t>
            </w:r>
          </w:p>
        </w:tc>
        <w:tc>
          <w:tcPr>
            <w:tcW w:w="1169" w:type="dxa"/>
            <w:tcBorders>
              <w:top w:val="nil"/>
              <w:left w:val="nil"/>
              <w:bottom w:val="nil"/>
              <w:right w:val="nil"/>
            </w:tcBorders>
          </w:tcPr>
          <w:p w:rsidR="009220C5" w:rsidRDefault="00AF6027">
            <w:pPr>
              <w:spacing w:after="0" w:line="259" w:lineRule="auto"/>
              <w:ind w:left="172" w:right="0" w:firstLine="0"/>
              <w:jc w:val="left"/>
            </w:pPr>
            <w:r>
              <w:rPr>
                <w:sz w:val="18"/>
              </w:rPr>
              <w:t>35.7</w:t>
            </w:r>
          </w:p>
        </w:tc>
        <w:tc>
          <w:tcPr>
            <w:tcW w:w="1498" w:type="dxa"/>
            <w:tcBorders>
              <w:top w:val="nil"/>
              <w:left w:val="nil"/>
              <w:bottom w:val="nil"/>
              <w:right w:val="nil"/>
            </w:tcBorders>
          </w:tcPr>
          <w:p w:rsidR="009220C5" w:rsidRDefault="00AF6027">
            <w:pPr>
              <w:spacing w:after="0" w:line="259" w:lineRule="auto"/>
              <w:ind w:left="313" w:right="0" w:firstLine="0"/>
              <w:jc w:val="left"/>
            </w:pPr>
            <w:r>
              <w:rPr>
                <w:sz w:val="18"/>
              </w:rPr>
              <w:t>33.8</w:t>
            </w:r>
          </w:p>
        </w:tc>
        <w:tc>
          <w:tcPr>
            <w:tcW w:w="939" w:type="dxa"/>
            <w:tcBorders>
              <w:top w:val="nil"/>
              <w:left w:val="nil"/>
              <w:bottom w:val="nil"/>
              <w:right w:val="nil"/>
            </w:tcBorders>
          </w:tcPr>
          <w:p w:rsidR="009220C5" w:rsidRDefault="00AF6027">
            <w:pPr>
              <w:spacing w:after="0" w:line="259" w:lineRule="auto"/>
              <w:ind w:left="80" w:right="0" w:firstLine="0"/>
              <w:jc w:val="left"/>
            </w:pPr>
            <w:r>
              <w:rPr>
                <w:sz w:val="18"/>
              </w:rPr>
              <w:t>0.776</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Glasgow Coma Scale (mean ± SD)</w:t>
            </w:r>
          </w:p>
        </w:tc>
        <w:tc>
          <w:tcPr>
            <w:tcW w:w="1396" w:type="dxa"/>
            <w:tcBorders>
              <w:top w:val="nil"/>
              <w:left w:val="nil"/>
              <w:bottom w:val="nil"/>
              <w:right w:val="nil"/>
            </w:tcBorders>
          </w:tcPr>
          <w:p w:rsidR="009220C5" w:rsidRDefault="00AF6027">
            <w:pPr>
              <w:spacing w:after="0" w:line="259" w:lineRule="auto"/>
              <w:ind w:left="95" w:right="0" w:firstLine="0"/>
              <w:jc w:val="left"/>
            </w:pPr>
            <w:r>
              <w:rPr>
                <w:sz w:val="18"/>
              </w:rPr>
              <w:t>11.6±3.8</w:t>
            </w:r>
          </w:p>
        </w:tc>
        <w:tc>
          <w:tcPr>
            <w:tcW w:w="1169" w:type="dxa"/>
            <w:tcBorders>
              <w:top w:val="nil"/>
              <w:left w:val="nil"/>
              <w:bottom w:val="nil"/>
              <w:right w:val="nil"/>
            </w:tcBorders>
          </w:tcPr>
          <w:p w:rsidR="009220C5" w:rsidRDefault="00AF6027">
            <w:pPr>
              <w:spacing w:after="0" w:line="259" w:lineRule="auto"/>
              <w:ind w:left="9" w:right="0" w:firstLine="0"/>
              <w:jc w:val="left"/>
            </w:pPr>
            <w:r>
              <w:rPr>
                <w:sz w:val="18"/>
              </w:rPr>
              <w:t>12.1±3.6</w:t>
            </w:r>
          </w:p>
        </w:tc>
        <w:tc>
          <w:tcPr>
            <w:tcW w:w="1498" w:type="dxa"/>
            <w:tcBorders>
              <w:top w:val="nil"/>
              <w:left w:val="nil"/>
              <w:bottom w:val="nil"/>
              <w:right w:val="nil"/>
            </w:tcBorders>
          </w:tcPr>
          <w:p w:rsidR="009220C5" w:rsidRDefault="00AF6027">
            <w:pPr>
              <w:spacing w:after="0" w:line="259" w:lineRule="auto"/>
              <w:ind w:left="195" w:right="0" w:firstLine="0"/>
              <w:jc w:val="left"/>
            </w:pPr>
            <w:r>
              <w:rPr>
                <w:sz w:val="18"/>
              </w:rPr>
              <w:t>9.6±4.2</w:t>
            </w:r>
          </w:p>
        </w:tc>
        <w:tc>
          <w:tcPr>
            <w:tcW w:w="939" w:type="dxa"/>
            <w:tcBorders>
              <w:top w:val="nil"/>
              <w:left w:val="nil"/>
              <w:bottom w:val="nil"/>
              <w:right w:val="nil"/>
            </w:tcBorders>
          </w:tcPr>
          <w:p w:rsidR="009220C5" w:rsidRDefault="00AF6027">
            <w:pPr>
              <w:spacing w:after="0" w:line="259" w:lineRule="auto"/>
              <w:ind w:left="29" w:right="0" w:firstLine="0"/>
              <w:jc w:val="left"/>
            </w:pPr>
            <w:r>
              <w:rPr>
                <w:sz w:val="18"/>
              </w:rPr>
              <w:t>&lt;0.001</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SOFA score (mean±SD)</w:t>
            </w:r>
          </w:p>
        </w:tc>
        <w:tc>
          <w:tcPr>
            <w:tcW w:w="1396" w:type="dxa"/>
            <w:tcBorders>
              <w:top w:val="nil"/>
              <w:left w:val="nil"/>
              <w:bottom w:val="nil"/>
              <w:right w:val="nil"/>
            </w:tcBorders>
          </w:tcPr>
          <w:p w:rsidR="009220C5" w:rsidRDefault="00AF6027">
            <w:pPr>
              <w:spacing w:after="0" w:line="259" w:lineRule="auto"/>
              <w:ind w:left="140" w:right="0" w:firstLine="0"/>
              <w:jc w:val="left"/>
            </w:pPr>
            <w:r>
              <w:rPr>
                <w:sz w:val="18"/>
              </w:rPr>
              <w:t>6.2±2.9</w:t>
            </w:r>
          </w:p>
        </w:tc>
        <w:tc>
          <w:tcPr>
            <w:tcW w:w="1169" w:type="dxa"/>
            <w:tcBorders>
              <w:top w:val="nil"/>
              <w:left w:val="nil"/>
              <w:bottom w:val="nil"/>
              <w:right w:val="nil"/>
            </w:tcBorders>
          </w:tcPr>
          <w:p w:rsidR="009220C5" w:rsidRDefault="00AF6027">
            <w:pPr>
              <w:spacing w:after="0" w:line="259" w:lineRule="auto"/>
              <w:ind w:left="54" w:right="0" w:firstLine="0"/>
              <w:jc w:val="left"/>
            </w:pPr>
            <w:r>
              <w:rPr>
                <w:sz w:val="18"/>
              </w:rPr>
              <w:t>5.7+2.6</w:t>
            </w:r>
          </w:p>
        </w:tc>
        <w:tc>
          <w:tcPr>
            <w:tcW w:w="1498" w:type="dxa"/>
            <w:tcBorders>
              <w:top w:val="nil"/>
              <w:left w:val="nil"/>
              <w:bottom w:val="nil"/>
              <w:right w:val="nil"/>
            </w:tcBorders>
          </w:tcPr>
          <w:p w:rsidR="009220C5" w:rsidRDefault="00AF6027">
            <w:pPr>
              <w:spacing w:after="0" w:line="259" w:lineRule="auto"/>
              <w:ind w:left="195" w:right="0" w:firstLine="0"/>
              <w:jc w:val="left"/>
            </w:pPr>
            <w:r>
              <w:rPr>
                <w:sz w:val="18"/>
              </w:rPr>
              <w:t>8.6+3.1</w:t>
            </w:r>
          </w:p>
        </w:tc>
        <w:tc>
          <w:tcPr>
            <w:tcW w:w="939" w:type="dxa"/>
            <w:tcBorders>
              <w:top w:val="nil"/>
              <w:left w:val="nil"/>
              <w:bottom w:val="nil"/>
              <w:right w:val="nil"/>
            </w:tcBorders>
          </w:tcPr>
          <w:p w:rsidR="009220C5" w:rsidRDefault="00AF6027">
            <w:pPr>
              <w:spacing w:after="0" w:line="259" w:lineRule="auto"/>
              <w:ind w:left="29" w:right="0" w:firstLine="0"/>
              <w:jc w:val="left"/>
            </w:pPr>
            <w:r>
              <w:rPr>
                <w:sz w:val="18"/>
              </w:rPr>
              <w:t>&lt;0.001</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Lenght of stay(days±SD)</w:t>
            </w:r>
          </w:p>
        </w:tc>
        <w:tc>
          <w:tcPr>
            <w:tcW w:w="1396" w:type="dxa"/>
            <w:tcBorders>
              <w:top w:val="nil"/>
              <w:left w:val="nil"/>
              <w:bottom w:val="nil"/>
              <w:right w:val="nil"/>
            </w:tcBorders>
          </w:tcPr>
          <w:p w:rsidR="009220C5" w:rsidRDefault="00AF6027">
            <w:pPr>
              <w:spacing w:after="0" w:line="259" w:lineRule="auto"/>
              <w:ind w:left="187" w:right="0" w:firstLine="0"/>
              <w:jc w:val="left"/>
            </w:pPr>
            <w:r>
              <w:rPr>
                <w:sz w:val="18"/>
              </w:rPr>
              <w:t>14</w:t>
            </w:r>
            <w:r>
              <w:rPr>
                <w:sz w:val="18"/>
                <w:u w:val="single" w:color="000000"/>
              </w:rPr>
              <w:t>+</w:t>
            </w:r>
            <w:r>
              <w:rPr>
                <w:sz w:val="18"/>
              </w:rPr>
              <w:t>10</w:t>
            </w:r>
          </w:p>
        </w:tc>
        <w:tc>
          <w:tcPr>
            <w:tcW w:w="1169" w:type="dxa"/>
            <w:tcBorders>
              <w:top w:val="nil"/>
              <w:left w:val="nil"/>
              <w:bottom w:val="nil"/>
              <w:right w:val="nil"/>
            </w:tcBorders>
          </w:tcPr>
          <w:p w:rsidR="009220C5" w:rsidRDefault="00AF6027">
            <w:pPr>
              <w:spacing w:after="0" w:line="259" w:lineRule="auto"/>
              <w:ind w:left="101" w:right="0" w:firstLine="0"/>
              <w:jc w:val="left"/>
            </w:pPr>
            <w:r>
              <w:rPr>
                <w:sz w:val="18"/>
              </w:rPr>
              <w:t>14</w:t>
            </w:r>
            <w:r>
              <w:rPr>
                <w:sz w:val="18"/>
                <w:u w:val="single" w:color="000000"/>
              </w:rPr>
              <w:t>+</w:t>
            </w:r>
            <w:r>
              <w:rPr>
                <w:sz w:val="18"/>
              </w:rPr>
              <w:t>10</w:t>
            </w:r>
          </w:p>
        </w:tc>
        <w:tc>
          <w:tcPr>
            <w:tcW w:w="1498" w:type="dxa"/>
            <w:tcBorders>
              <w:top w:val="nil"/>
              <w:left w:val="nil"/>
              <w:bottom w:val="nil"/>
              <w:right w:val="nil"/>
            </w:tcBorders>
          </w:tcPr>
          <w:p w:rsidR="009220C5" w:rsidRDefault="00AF6027">
            <w:pPr>
              <w:spacing w:after="0" w:line="259" w:lineRule="auto"/>
              <w:ind w:left="242" w:right="0" w:firstLine="0"/>
              <w:jc w:val="left"/>
            </w:pPr>
            <w:r>
              <w:rPr>
                <w:sz w:val="18"/>
              </w:rPr>
              <w:t>13</w:t>
            </w:r>
            <w:r>
              <w:rPr>
                <w:sz w:val="18"/>
                <w:u w:val="single" w:color="000000"/>
              </w:rPr>
              <w:t>+</w:t>
            </w:r>
            <w:r>
              <w:rPr>
                <w:sz w:val="18"/>
              </w:rPr>
              <w:t>10</w:t>
            </w:r>
          </w:p>
        </w:tc>
        <w:tc>
          <w:tcPr>
            <w:tcW w:w="939" w:type="dxa"/>
            <w:tcBorders>
              <w:top w:val="nil"/>
              <w:left w:val="nil"/>
              <w:bottom w:val="nil"/>
              <w:right w:val="nil"/>
            </w:tcBorders>
          </w:tcPr>
          <w:p w:rsidR="009220C5" w:rsidRDefault="00AF6027">
            <w:pPr>
              <w:spacing w:after="0" w:line="259" w:lineRule="auto"/>
              <w:ind w:left="82" w:right="0" w:firstLine="0"/>
              <w:jc w:val="left"/>
            </w:pPr>
            <w:r>
              <w:rPr>
                <w:sz w:val="18"/>
              </w:rPr>
              <w:t>0.549</w:t>
            </w:r>
          </w:p>
        </w:tc>
      </w:tr>
      <w:tr w:rsidR="009220C5">
        <w:trPr>
          <w:trHeight w:val="508"/>
        </w:trPr>
        <w:tc>
          <w:tcPr>
            <w:tcW w:w="3327" w:type="dxa"/>
            <w:tcBorders>
              <w:top w:val="nil"/>
              <w:left w:val="nil"/>
              <w:bottom w:val="nil"/>
              <w:right w:val="nil"/>
            </w:tcBorders>
          </w:tcPr>
          <w:p w:rsidR="009220C5" w:rsidRDefault="00AF6027">
            <w:pPr>
              <w:spacing w:after="0" w:line="259" w:lineRule="auto"/>
              <w:ind w:left="227" w:right="486" w:hanging="170"/>
              <w:jc w:val="left"/>
            </w:pPr>
            <w:r>
              <w:rPr>
                <w:sz w:val="18"/>
              </w:rPr>
              <w:t>Source of infection n (%) Respiratory</w:t>
            </w:r>
          </w:p>
        </w:tc>
        <w:tc>
          <w:tcPr>
            <w:tcW w:w="1396" w:type="dxa"/>
            <w:tcBorders>
              <w:top w:val="nil"/>
              <w:left w:val="nil"/>
              <w:bottom w:val="nil"/>
              <w:right w:val="nil"/>
            </w:tcBorders>
            <w:vAlign w:val="bottom"/>
          </w:tcPr>
          <w:p w:rsidR="009220C5" w:rsidRDefault="00AF6027">
            <w:pPr>
              <w:spacing w:after="0" w:line="259" w:lineRule="auto"/>
              <w:ind w:left="43" w:right="0" w:firstLine="0"/>
              <w:jc w:val="left"/>
            </w:pPr>
            <w:r>
              <w:rPr>
                <w:sz w:val="18"/>
              </w:rPr>
              <w:t>108 (30.1)</w:t>
            </w:r>
          </w:p>
        </w:tc>
        <w:tc>
          <w:tcPr>
            <w:tcW w:w="1169" w:type="dxa"/>
            <w:tcBorders>
              <w:top w:val="nil"/>
              <w:left w:val="nil"/>
              <w:bottom w:val="nil"/>
              <w:right w:val="nil"/>
            </w:tcBorders>
            <w:vAlign w:val="bottom"/>
          </w:tcPr>
          <w:p w:rsidR="009220C5" w:rsidRDefault="00AF6027">
            <w:pPr>
              <w:spacing w:after="0" w:line="259" w:lineRule="auto"/>
              <w:ind w:left="2" w:right="0" w:firstLine="0"/>
              <w:jc w:val="left"/>
            </w:pPr>
            <w:r>
              <w:rPr>
                <w:sz w:val="18"/>
              </w:rPr>
              <w:t>83 (28.2)</w:t>
            </w:r>
          </w:p>
        </w:tc>
        <w:tc>
          <w:tcPr>
            <w:tcW w:w="1498" w:type="dxa"/>
            <w:tcBorders>
              <w:top w:val="nil"/>
              <w:left w:val="nil"/>
              <w:bottom w:val="nil"/>
              <w:right w:val="nil"/>
            </w:tcBorders>
            <w:vAlign w:val="bottom"/>
          </w:tcPr>
          <w:p w:rsidR="009220C5" w:rsidRDefault="00AF6027">
            <w:pPr>
              <w:spacing w:after="0" w:line="259" w:lineRule="auto"/>
              <w:ind w:left="143" w:right="0" w:firstLine="0"/>
              <w:jc w:val="left"/>
            </w:pPr>
            <w:r>
              <w:rPr>
                <w:sz w:val="18"/>
              </w:rPr>
              <w:t>25 (38.5)</w:t>
            </w:r>
          </w:p>
        </w:tc>
        <w:tc>
          <w:tcPr>
            <w:tcW w:w="939" w:type="dxa"/>
            <w:tcBorders>
              <w:top w:val="nil"/>
              <w:left w:val="nil"/>
              <w:bottom w:val="nil"/>
              <w:right w:val="nil"/>
            </w:tcBorders>
            <w:vAlign w:val="bottom"/>
          </w:tcPr>
          <w:p w:rsidR="009220C5" w:rsidRDefault="00AF6027">
            <w:pPr>
              <w:spacing w:after="0" w:line="259" w:lineRule="auto"/>
              <w:ind w:left="82" w:right="0" w:firstLine="0"/>
              <w:jc w:val="left"/>
            </w:pPr>
            <w:r>
              <w:rPr>
                <w:sz w:val="18"/>
              </w:rPr>
              <w:t>0.104</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7" w:right="0" w:firstLine="0"/>
              <w:jc w:val="left"/>
            </w:pPr>
            <w:r>
              <w:rPr>
                <w:sz w:val="18"/>
              </w:rPr>
              <w:t>Urinary</w:t>
            </w:r>
          </w:p>
        </w:tc>
        <w:tc>
          <w:tcPr>
            <w:tcW w:w="1396" w:type="dxa"/>
            <w:tcBorders>
              <w:top w:val="nil"/>
              <w:left w:val="nil"/>
              <w:bottom w:val="nil"/>
              <w:right w:val="nil"/>
            </w:tcBorders>
          </w:tcPr>
          <w:p w:rsidR="009220C5" w:rsidRDefault="00AF6027">
            <w:pPr>
              <w:spacing w:after="0" w:line="259" w:lineRule="auto"/>
              <w:ind w:left="87" w:right="0" w:firstLine="0"/>
              <w:jc w:val="left"/>
            </w:pPr>
            <w:r>
              <w:rPr>
                <w:sz w:val="18"/>
              </w:rPr>
              <w:t>77 (21.4)</w:t>
            </w:r>
          </w:p>
        </w:tc>
        <w:tc>
          <w:tcPr>
            <w:tcW w:w="1169" w:type="dxa"/>
            <w:tcBorders>
              <w:top w:val="nil"/>
              <w:left w:val="nil"/>
              <w:bottom w:val="nil"/>
              <w:right w:val="nil"/>
            </w:tcBorders>
          </w:tcPr>
          <w:p w:rsidR="009220C5" w:rsidRDefault="00AF6027">
            <w:pPr>
              <w:spacing w:after="0" w:line="259" w:lineRule="auto"/>
              <w:ind w:left="1" w:right="0" w:firstLine="0"/>
              <w:jc w:val="left"/>
            </w:pPr>
            <w:r>
              <w:rPr>
                <w:sz w:val="18"/>
              </w:rPr>
              <w:t>69 (23.5)</w:t>
            </w:r>
          </w:p>
        </w:tc>
        <w:tc>
          <w:tcPr>
            <w:tcW w:w="1498" w:type="dxa"/>
            <w:tcBorders>
              <w:top w:val="nil"/>
              <w:left w:val="nil"/>
              <w:bottom w:val="nil"/>
              <w:right w:val="nil"/>
            </w:tcBorders>
          </w:tcPr>
          <w:p w:rsidR="009220C5" w:rsidRDefault="00AF6027">
            <w:pPr>
              <w:spacing w:after="0" w:line="259" w:lineRule="auto"/>
              <w:ind w:left="187" w:right="0" w:firstLine="0"/>
              <w:jc w:val="left"/>
            </w:pPr>
            <w:r>
              <w:rPr>
                <w:sz w:val="18"/>
              </w:rPr>
              <w:t>8 (12.3)</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0.047</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Primary bacteremia</w:t>
            </w:r>
          </w:p>
        </w:tc>
        <w:tc>
          <w:tcPr>
            <w:tcW w:w="1396" w:type="dxa"/>
            <w:tcBorders>
              <w:top w:val="nil"/>
              <w:left w:val="nil"/>
              <w:bottom w:val="nil"/>
              <w:right w:val="nil"/>
            </w:tcBorders>
          </w:tcPr>
          <w:p w:rsidR="009220C5" w:rsidRDefault="00AF6027">
            <w:pPr>
              <w:spacing w:after="0" w:line="259" w:lineRule="auto"/>
              <w:ind w:left="42" w:right="0" w:firstLine="0"/>
              <w:jc w:val="left"/>
            </w:pPr>
            <w:r>
              <w:rPr>
                <w:sz w:val="18"/>
              </w:rPr>
              <w:t>107 (29.8)</w:t>
            </w:r>
          </w:p>
        </w:tc>
        <w:tc>
          <w:tcPr>
            <w:tcW w:w="1169" w:type="dxa"/>
            <w:tcBorders>
              <w:top w:val="nil"/>
              <w:left w:val="nil"/>
              <w:bottom w:val="nil"/>
              <w:right w:val="nil"/>
            </w:tcBorders>
          </w:tcPr>
          <w:p w:rsidR="009220C5" w:rsidRDefault="00AF6027">
            <w:pPr>
              <w:spacing w:after="0" w:line="259" w:lineRule="auto"/>
              <w:ind w:left="1" w:right="0" w:firstLine="0"/>
              <w:jc w:val="left"/>
            </w:pPr>
            <w:r>
              <w:rPr>
                <w:sz w:val="18"/>
              </w:rPr>
              <w:t>90 (30.6)</w:t>
            </w:r>
          </w:p>
        </w:tc>
        <w:tc>
          <w:tcPr>
            <w:tcW w:w="1498" w:type="dxa"/>
            <w:tcBorders>
              <w:top w:val="nil"/>
              <w:left w:val="nil"/>
              <w:bottom w:val="nil"/>
              <w:right w:val="nil"/>
            </w:tcBorders>
          </w:tcPr>
          <w:p w:rsidR="009220C5" w:rsidRDefault="00AF6027">
            <w:pPr>
              <w:spacing w:after="0" w:line="259" w:lineRule="auto"/>
              <w:ind w:left="142" w:right="0" w:firstLine="0"/>
              <w:jc w:val="left"/>
            </w:pPr>
            <w:r>
              <w:rPr>
                <w:sz w:val="18"/>
              </w:rPr>
              <w:t>17 (26.2)</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0.477</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Skin and soft tissue</w:t>
            </w:r>
          </w:p>
        </w:tc>
        <w:tc>
          <w:tcPr>
            <w:tcW w:w="1396" w:type="dxa"/>
            <w:tcBorders>
              <w:top w:val="nil"/>
              <w:left w:val="nil"/>
              <w:bottom w:val="nil"/>
              <w:right w:val="nil"/>
            </w:tcBorders>
          </w:tcPr>
          <w:p w:rsidR="009220C5" w:rsidRDefault="00AF6027">
            <w:pPr>
              <w:spacing w:after="0" w:line="259" w:lineRule="auto"/>
              <w:ind w:left="132" w:right="0" w:firstLine="0"/>
              <w:jc w:val="left"/>
            </w:pPr>
            <w:r>
              <w:rPr>
                <w:sz w:val="18"/>
              </w:rPr>
              <w:t>17 (4.7)</w:t>
            </w:r>
          </w:p>
        </w:tc>
        <w:tc>
          <w:tcPr>
            <w:tcW w:w="1169" w:type="dxa"/>
            <w:tcBorders>
              <w:top w:val="nil"/>
              <w:left w:val="nil"/>
              <w:bottom w:val="nil"/>
              <w:right w:val="nil"/>
            </w:tcBorders>
          </w:tcPr>
          <w:p w:rsidR="009220C5" w:rsidRDefault="00AF6027">
            <w:pPr>
              <w:spacing w:after="0" w:line="259" w:lineRule="auto"/>
              <w:ind w:left="46" w:right="0" w:firstLine="0"/>
              <w:jc w:val="left"/>
            </w:pPr>
            <w:r>
              <w:rPr>
                <w:sz w:val="18"/>
              </w:rPr>
              <w:t>16 (5.4)</w:t>
            </w:r>
          </w:p>
        </w:tc>
        <w:tc>
          <w:tcPr>
            <w:tcW w:w="1498" w:type="dxa"/>
            <w:tcBorders>
              <w:top w:val="nil"/>
              <w:left w:val="nil"/>
              <w:bottom w:val="nil"/>
              <w:right w:val="nil"/>
            </w:tcBorders>
          </w:tcPr>
          <w:p w:rsidR="009220C5" w:rsidRDefault="00AF6027">
            <w:pPr>
              <w:spacing w:after="0" w:line="259" w:lineRule="auto"/>
              <w:ind w:left="232" w:right="0" w:firstLine="0"/>
              <w:jc w:val="left"/>
            </w:pPr>
            <w:r>
              <w:rPr>
                <w:sz w:val="18"/>
              </w:rPr>
              <w:t>1 (1.5)</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0.329</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Intra-abdominal</w:t>
            </w:r>
          </w:p>
        </w:tc>
        <w:tc>
          <w:tcPr>
            <w:tcW w:w="1396" w:type="dxa"/>
            <w:tcBorders>
              <w:top w:val="nil"/>
              <w:left w:val="nil"/>
              <w:bottom w:val="nil"/>
              <w:right w:val="nil"/>
            </w:tcBorders>
          </w:tcPr>
          <w:p w:rsidR="009220C5" w:rsidRDefault="00AF6027">
            <w:pPr>
              <w:spacing w:after="0" w:line="259" w:lineRule="auto"/>
              <w:ind w:left="132" w:right="0" w:firstLine="0"/>
              <w:jc w:val="left"/>
            </w:pPr>
            <w:r>
              <w:rPr>
                <w:sz w:val="18"/>
              </w:rPr>
              <w:t>14 (3.9)</w:t>
            </w:r>
          </w:p>
        </w:tc>
        <w:tc>
          <w:tcPr>
            <w:tcW w:w="1169" w:type="dxa"/>
            <w:tcBorders>
              <w:top w:val="nil"/>
              <w:left w:val="nil"/>
              <w:bottom w:val="nil"/>
              <w:right w:val="nil"/>
            </w:tcBorders>
          </w:tcPr>
          <w:p w:rsidR="009220C5" w:rsidRDefault="00AF6027">
            <w:pPr>
              <w:spacing w:after="0" w:line="259" w:lineRule="auto"/>
              <w:ind w:left="91" w:right="0" w:firstLine="0"/>
              <w:jc w:val="left"/>
            </w:pPr>
            <w:r>
              <w:rPr>
                <w:sz w:val="18"/>
              </w:rPr>
              <w:t>7 (2.4)</w:t>
            </w:r>
          </w:p>
        </w:tc>
        <w:tc>
          <w:tcPr>
            <w:tcW w:w="1498" w:type="dxa"/>
            <w:tcBorders>
              <w:top w:val="nil"/>
              <w:left w:val="nil"/>
              <w:bottom w:val="nil"/>
              <w:right w:val="nil"/>
            </w:tcBorders>
          </w:tcPr>
          <w:p w:rsidR="009220C5" w:rsidRDefault="00AF6027">
            <w:pPr>
              <w:spacing w:after="0" w:line="259" w:lineRule="auto"/>
              <w:ind w:left="187" w:right="0" w:firstLine="0"/>
              <w:jc w:val="left"/>
            </w:pPr>
            <w:r>
              <w:rPr>
                <w:sz w:val="18"/>
              </w:rPr>
              <w:t>7 (10.8)</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0.006</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Catheter-related</w:t>
            </w:r>
          </w:p>
        </w:tc>
        <w:tc>
          <w:tcPr>
            <w:tcW w:w="1396" w:type="dxa"/>
            <w:tcBorders>
              <w:top w:val="nil"/>
              <w:left w:val="nil"/>
              <w:bottom w:val="nil"/>
              <w:right w:val="nil"/>
            </w:tcBorders>
          </w:tcPr>
          <w:p w:rsidR="009220C5" w:rsidRDefault="00AF6027">
            <w:pPr>
              <w:spacing w:after="0" w:line="259" w:lineRule="auto"/>
              <w:ind w:left="177" w:right="0" w:firstLine="0"/>
              <w:jc w:val="left"/>
            </w:pPr>
            <w:r>
              <w:rPr>
                <w:sz w:val="18"/>
              </w:rPr>
              <w:t>6 (1.7)</w:t>
            </w:r>
          </w:p>
        </w:tc>
        <w:tc>
          <w:tcPr>
            <w:tcW w:w="1169" w:type="dxa"/>
            <w:tcBorders>
              <w:top w:val="nil"/>
              <w:left w:val="nil"/>
              <w:bottom w:val="nil"/>
              <w:right w:val="nil"/>
            </w:tcBorders>
          </w:tcPr>
          <w:p w:rsidR="009220C5" w:rsidRDefault="00AF6027">
            <w:pPr>
              <w:spacing w:after="0" w:line="259" w:lineRule="auto"/>
              <w:ind w:left="91" w:right="0" w:firstLine="0"/>
              <w:jc w:val="left"/>
            </w:pPr>
            <w:r>
              <w:rPr>
                <w:sz w:val="18"/>
              </w:rPr>
              <w:t>3 (1.0)</w:t>
            </w:r>
          </w:p>
        </w:tc>
        <w:tc>
          <w:tcPr>
            <w:tcW w:w="1498" w:type="dxa"/>
            <w:tcBorders>
              <w:top w:val="nil"/>
              <w:left w:val="nil"/>
              <w:bottom w:val="nil"/>
              <w:right w:val="nil"/>
            </w:tcBorders>
          </w:tcPr>
          <w:p w:rsidR="009220C5" w:rsidRDefault="00AF6027">
            <w:pPr>
              <w:spacing w:after="0" w:line="259" w:lineRule="auto"/>
              <w:ind w:left="232" w:right="0" w:firstLine="0"/>
              <w:jc w:val="left"/>
            </w:pPr>
            <w:r>
              <w:rPr>
                <w:sz w:val="18"/>
              </w:rPr>
              <w:t>3 (4.6)</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0.075</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Unknown</w:t>
            </w:r>
          </w:p>
        </w:tc>
        <w:tc>
          <w:tcPr>
            <w:tcW w:w="1396" w:type="dxa"/>
            <w:tcBorders>
              <w:top w:val="nil"/>
              <w:left w:val="nil"/>
              <w:bottom w:val="nil"/>
              <w:right w:val="nil"/>
            </w:tcBorders>
          </w:tcPr>
          <w:p w:rsidR="009220C5" w:rsidRDefault="00AF6027">
            <w:pPr>
              <w:spacing w:after="0" w:line="259" w:lineRule="auto"/>
              <w:ind w:left="132" w:right="0" w:firstLine="0"/>
              <w:jc w:val="left"/>
            </w:pPr>
            <w:r>
              <w:rPr>
                <w:sz w:val="18"/>
              </w:rPr>
              <w:t>28 (7.8)</w:t>
            </w:r>
          </w:p>
        </w:tc>
        <w:tc>
          <w:tcPr>
            <w:tcW w:w="1169" w:type="dxa"/>
            <w:tcBorders>
              <w:top w:val="nil"/>
              <w:left w:val="nil"/>
              <w:bottom w:val="nil"/>
              <w:right w:val="nil"/>
            </w:tcBorders>
          </w:tcPr>
          <w:p w:rsidR="009220C5" w:rsidRDefault="00AF6027">
            <w:pPr>
              <w:spacing w:after="0" w:line="259" w:lineRule="auto"/>
              <w:ind w:left="46" w:right="0" w:firstLine="0"/>
              <w:jc w:val="left"/>
            </w:pPr>
            <w:r>
              <w:rPr>
                <w:sz w:val="18"/>
              </w:rPr>
              <w:t>24 (8.2)</w:t>
            </w:r>
          </w:p>
        </w:tc>
        <w:tc>
          <w:tcPr>
            <w:tcW w:w="1498" w:type="dxa"/>
            <w:tcBorders>
              <w:top w:val="nil"/>
              <w:left w:val="nil"/>
              <w:bottom w:val="nil"/>
              <w:right w:val="nil"/>
            </w:tcBorders>
          </w:tcPr>
          <w:p w:rsidR="009220C5" w:rsidRDefault="00AF6027">
            <w:pPr>
              <w:spacing w:after="0" w:line="259" w:lineRule="auto"/>
              <w:ind w:left="232" w:right="0" w:firstLine="0"/>
              <w:jc w:val="left"/>
            </w:pPr>
            <w:r>
              <w:rPr>
                <w:sz w:val="18"/>
              </w:rPr>
              <w:t>4 (6.2)</w:t>
            </w:r>
          </w:p>
        </w:tc>
        <w:tc>
          <w:tcPr>
            <w:tcW w:w="939" w:type="dxa"/>
            <w:tcBorders>
              <w:top w:val="nil"/>
              <w:left w:val="nil"/>
              <w:bottom w:val="nil"/>
              <w:right w:val="nil"/>
            </w:tcBorders>
          </w:tcPr>
          <w:p w:rsidR="009220C5" w:rsidRDefault="00AF6027">
            <w:pPr>
              <w:spacing w:after="0" w:line="259" w:lineRule="auto"/>
              <w:ind w:left="81" w:right="0" w:firstLine="0"/>
              <w:jc w:val="left"/>
            </w:pPr>
            <w:r>
              <w:rPr>
                <w:sz w:val="18"/>
              </w:rPr>
              <w:t>0.582</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6" w:right="0" w:firstLine="0"/>
              <w:jc w:val="left"/>
            </w:pPr>
            <w:r>
              <w:rPr>
                <w:sz w:val="18"/>
              </w:rPr>
              <w:t>Endocarditis</w:t>
            </w:r>
          </w:p>
        </w:tc>
        <w:tc>
          <w:tcPr>
            <w:tcW w:w="1396" w:type="dxa"/>
            <w:tcBorders>
              <w:top w:val="nil"/>
              <w:left w:val="nil"/>
              <w:bottom w:val="nil"/>
              <w:right w:val="nil"/>
            </w:tcBorders>
          </w:tcPr>
          <w:p w:rsidR="009220C5" w:rsidRDefault="00AF6027">
            <w:pPr>
              <w:spacing w:after="0" w:line="259" w:lineRule="auto"/>
              <w:ind w:left="176" w:right="0" w:firstLine="0"/>
              <w:jc w:val="left"/>
            </w:pPr>
            <w:r>
              <w:rPr>
                <w:sz w:val="18"/>
              </w:rPr>
              <w:t>1 (0.3)</w:t>
            </w:r>
          </w:p>
        </w:tc>
        <w:tc>
          <w:tcPr>
            <w:tcW w:w="1169" w:type="dxa"/>
            <w:tcBorders>
              <w:top w:val="nil"/>
              <w:left w:val="nil"/>
              <w:bottom w:val="nil"/>
              <w:right w:val="nil"/>
            </w:tcBorders>
          </w:tcPr>
          <w:p w:rsidR="009220C5" w:rsidRDefault="00AF6027">
            <w:pPr>
              <w:spacing w:after="0" w:line="259" w:lineRule="auto"/>
              <w:ind w:left="90" w:right="0" w:firstLine="0"/>
              <w:jc w:val="left"/>
            </w:pPr>
            <w:r>
              <w:rPr>
                <w:sz w:val="18"/>
              </w:rPr>
              <w:t>0 (0.0)</w:t>
            </w:r>
          </w:p>
        </w:tc>
        <w:tc>
          <w:tcPr>
            <w:tcW w:w="1498" w:type="dxa"/>
            <w:tcBorders>
              <w:top w:val="nil"/>
              <w:left w:val="nil"/>
              <w:bottom w:val="nil"/>
              <w:right w:val="nil"/>
            </w:tcBorders>
          </w:tcPr>
          <w:p w:rsidR="009220C5" w:rsidRDefault="00AF6027">
            <w:pPr>
              <w:spacing w:after="0" w:line="259" w:lineRule="auto"/>
              <w:ind w:left="231" w:right="0" w:firstLine="0"/>
              <w:jc w:val="left"/>
            </w:pPr>
            <w:r>
              <w:rPr>
                <w:sz w:val="18"/>
              </w:rPr>
              <w:t>1 (1.5)</w:t>
            </w:r>
          </w:p>
        </w:tc>
        <w:tc>
          <w:tcPr>
            <w:tcW w:w="939" w:type="dxa"/>
            <w:tcBorders>
              <w:top w:val="nil"/>
              <w:left w:val="nil"/>
              <w:bottom w:val="nil"/>
              <w:right w:val="nil"/>
            </w:tcBorders>
          </w:tcPr>
          <w:p w:rsidR="009220C5" w:rsidRDefault="00AF6027">
            <w:pPr>
              <w:spacing w:after="0" w:line="259" w:lineRule="auto"/>
              <w:ind w:left="80" w:right="0" w:firstLine="0"/>
              <w:jc w:val="left"/>
            </w:pPr>
            <w:r>
              <w:rPr>
                <w:sz w:val="18"/>
              </w:rPr>
              <w:t>0.181</w:t>
            </w:r>
          </w:p>
        </w:tc>
      </w:tr>
      <w:tr w:rsidR="009220C5">
        <w:trPr>
          <w:trHeight w:val="251"/>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Spondylodiscitis</w:t>
            </w:r>
          </w:p>
        </w:tc>
        <w:tc>
          <w:tcPr>
            <w:tcW w:w="1396" w:type="dxa"/>
            <w:tcBorders>
              <w:top w:val="nil"/>
              <w:left w:val="nil"/>
              <w:bottom w:val="nil"/>
              <w:right w:val="nil"/>
            </w:tcBorders>
          </w:tcPr>
          <w:p w:rsidR="009220C5" w:rsidRDefault="00AF6027">
            <w:pPr>
              <w:spacing w:after="0" w:line="259" w:lineRule="auto"/>
              <w:ind w:left="176" w:right="0" w:firstLine="0"/>
              <w:jc w:val="left"/>
            </w:pPr>
            <w:r>
              <w:rPr>
                <w:sz w:val="18"/>
              </w:rPr>
              <w:t>1 (0.3)</w:t>
            </w:r>
          </w:p>
        </w:tc>
        <w:tc>
          <w:tcPr>
            <w:tcW w:w="1169" w:type="dxa"/>
            <w:tcBorders>
              <w:top w:val="nil"/>
              <w:left w:val="nil"/>
              <w:bottom w:val="nil"/>
              <w:right w:val="nil"/>
            </w:tcBorders>
          </w:tcPr>
          <w:p w:rsidR="009220C5" w:rsidRDefault="00AF6027">
            <w:pPr>
              <w:spacing w:after="0" w:line="259" w:lineRule="auto"/>
              <w:ind w:left="90" w:right="0" w:firstLine="0"/>
              <w:jc w:val="left"/>
            </w:pPr>
            <w:r>
              <w:rPr>
                <w:sz w:val="18"/>
              </w:rPr>
              <w:t>1 (0.3)</w:t>
            </w:r>
          </w:p>
        </w:tc>
        <w:tc>
          <w:tcPr>
            <w:tcW w:w="1498" w:type="dxa"/>
            <w:tcBorders>
              <w:top w:val="nil"/>
              <w:left w:val="nil"/>
              <w:bottom w:val="nil"/>
              <w:right w:val="nil"/>
            </w:tcBorders>
          </w:tcPr>
          <w:p w:rsidR="009220C5" w:rsidRDefault="00AF6027">
            <w:pPr>
              <w:spacing w:after="0" w:line="259" w:lineRule="auto"/>
              <w:ind w:left="231" w:right="0" w:firstLine="0"/>
              <w:jc w:val="left"/>
            </w:pPr>
            <w:r>
              <w:rPr>
                <w:sz w:val="18"/>
              </w:rPr>
              <w:t>0 (0.0)</w:t>
            </w:r>
          </w:p>
        </w:tc>
        <w:tc>
          <w:tcPr>
            <w:tcW w:w="939" w:type="dxa"/>
            <w:tcBorders>
              <w:top w:val="nil"/>
              <w:left w:val="nil"/>
              <w:bottom w:val="nil"/>
              <w:right w:val="nil"/>
            </w:tcBorders>
          </w:tcPr>
          <w:p w:rsidR="009220C5" w:rsidRDefault="00AF6027">
            <w:pPr>
              <w:spacing w:after="0" w:line="259" w:lineRule="auto"/>
              <w:ind w:left="80" w:right="0" w:firstLine="0"/>
              <w:jc w:val="left"/>
            </w:pPr>
            <w:r>
              <w:rPr>
                <w:sz w:val="18"/>
              </w:rPr>
              <w:t>1.000</w:t>
            </w:r>
          </w:p>
        </w:tc>
      </w:tr>
      <w:tr w:rsidR="009220C5">
        <w:trPr>
          <w:trHeight w:val="512"/>
        </w:trPr>
        <w:tc>
          <w:tcPr>
            <w:tcW w:w="3327" w:type="dxa"/>
            <w:tcBorders>
              <w:top w:val="nil"/>
              <w:left w:val="nil"/>
              <w:bottom w:val="nil"/>
              <w:right w:val="nil"/>
            </w:tcBorders>
          </w:tcPr>
          <w:p w:rsidR="009220C5" w:rsidRDefault="00AF6027">
            <w:pPr>
              <w:spacing w:after="0" w:line="259" w:lineRule="auto"/>
              <w:ind w:left="225" w:right="1313" w:hanging="170"/>
              <w:jc w:val="left"/>
            </w:pPr>
            <w:r>
              <w:rPr>
                <w:b/>
                <w:sz w:val="18"/>
              </w:rPr>
              <w:t xml:space="preserve">Outcome </w:t>
            </w:r>
            <w:r>
              <w:rPr>
                <w:sz w:val="18"/>
              </w:rPr>
              <w:t>n (%) Improved</w:t>
            </w:r>
          </w:p>
        </w:tc>
        <w:tc>
          <w:tcPr>
            <w:tcW w:w="1396" w:type="dxa"/>
            <w:tcBorders>
              <w:top w:val="nil"/>
              <w:left w:val="nil"/>
              <w:bottom w:val="nil"/>
              <w:right w:val="nil"/>
            </w:tcBorders>
            <w:vAlign w:val="bottom"/>
          </w:tcPr>
          <w:p w:rsidR="009220C5" w:rsidRDefault="00AF6027">
            <w:pPr>
              <w:spacing w:after="0" w:line="259" w:lineRule="auto"/>
              <w:ind w:left="41" w:right="0" w:firstLine="0"/>
              <w:jc w:val="left"/>
            </w:pPr>
            <w:r>
              <w:rPr>
                <w:sz w:val="18"/>
              </w:rPr>
              <w:t>228 (63.5)</w:t>
            </w:r>
          </w:p>
        </w:tc>
        <w:tc>
          <w:tcPr>
            <w:tcW w:w="1169" w:type="dxa"/>
            <w:tcBorders>
              <w:top w:val="nil"/>
              <w:left w:val="nil"/>
              <w:bottom w:val="nil"/>
              <w:right w:val="nil"/>
            </w:tcBorders>
            <w:vAlign w:val="bottom"/>
          </w:tcPr>
          <w:p w:rsidR="009220C5" w:rsidRDefault="00AF6027">
            <w:pPr>
              <w:spacing w:after="0" w:line="259" w:lineRule="auto"/>
              <w:ind w:left="23" w:right="0" w:firstLine="0"/>
              <w:jc w:val="left"/>
            </w:pPr>
            <w:r>
              <w:rPr>
                <w:sz w:val="18"/>
              </w:rPr>
              <w:t>200 (68)</w:t>
            </w:r>
          </w:p>
        </w:tc>
        <w:tc>
          <w:tcPr>
            <w:tcW w:w="1498" w:type="dxa"/>
            <w:tcBorders>
              <w:top w:val="nil"/>
              <w:left w:val="nil"/>
              <w:bottom w:val="nil"/>
              <w:right w:val="nil"/>
            </w:tcBorders>
            <w:vAlign w:val="bottom"/>
          </w:tcPr>
          <w:p w:rsidR="009220C5" w:rsidRDefault="00AF6027">
            <w:pPr>
              <w:spacing w:after="0" w:line="259" w:lineRule="auto"/>
              <w:ind w:left="141" w:right="0" w:firstLine="0"/>
              <w:jc w:val="left"/>
            </w:pPr>
            <w:r>
              <w:rPr>
                <w:sz w:val="18"/>
              </w:rPr>
              <w:t>24 (33.8)</w:t>
            </w:r>
          </w:p>
        </w:tc>
        <w:tc>
          <w:tcPr>
            <w:tcW w:w="939" w:type="dxa"/>
            <w:tcBorders>
              <w:top w:val="nil"/>
              <w:left w:val="nil"/>
              <w:bottom w:val="nil"/>
              <w:right w:val="nil"/>
            </w:tcBorders>
            <w:vAlign w:val="bottom"/>
          </w:tcPr>
          <w:p w:rsidR="009220C5" w:rsidRDefault="00AF6027">
            <w:pPr>
              <w:spacing w:after="0" w:line="259" w:lineRule="auto"/>
              <w:ind w:left="29" w:right="0" w:firstLine="0"/>
              <w:jc w:val="left"/>
            </w:pPr>
            <w:r>
              <w:rPr>
                <w:sz w:val="18"/>
              </w:rPr>
              <w:t>&lt;0.001</w:t>
            </w:r>
          </w:p>
        </w:tc>
      </w:tr>
      <w:tr w:rsidR="009220C5">
        <w:trPr>
          <w:trHeight w:val="254"/>
        </w:trPr>
        <w:tc>
          <w:tcPr>
            <w:tcW w:w="3327" w:type="dxa"/>
            <w:tcBorders>
              <w:top w:val="nil"/>
              <w:left w:val="nil"/>
              <w:bottom w:val="nil"/>
              <w:right w:val="nil"/>
            </w:tcBorders>
          </w:tcPr>
          <w:p w:rsidR="009220C5" w:rsidRDefault="00AF6027">
            <w:pPr>
              <w:spacing w:after="0" w:line="259" w:lineRule="auto"/>
              <w:ind w:left="225" w:right="0" w:firstLine="0"/>
              <w:jc w:val="left"/>
            </w:pPr>
            <w:r>
              <w:rPr>
                <w:sz w:val="18"/>
              </w:rPr>
              <w:t>Dead</w:t>
            </w:r>
          </w:p>
        </w:tc>
        <w:tc>
          <w:tcPr>
            <w:tcW w:w="1396" w:type="dxa"/>
            <w:tcBorders>
              <w:top w:val="nil"/>
              <w:left w:val="nil"/>
              <w:bottom w:val="nil"/>
              <w:right w:val="nil"/>
            </w:tcBorders>
          </w:tcPr>
          <w:p w:rsidR="009220C5" w:rsidRDefault="00AF6027">
            <w:pPr>
              <w:spacing w:after="0" w:line="259" w:lineRule="auto"/>
              <w:ind w:left="41" w:right="0" w:firstLine="0"/>
              <w:jc w:val="left"/>
            </w:pPr>
            <w:r>
              <w:rPr>
                <w:sz w:val="18"/>
              </w:rPr>
              <w:t>112 (31.2)</w:t>
            </w:r>
          </w:p>
        </w:tc>
        <w:tc>
          <w:tcPr>
            <w:tcW w:w="1169" w:type="dxa"/>
            <w:tcBorders>
              <w:top w:val="nil"/>
              <w:left w:val="nil"/>
              <w:bottom w:val="nil"/>
              <w:right w:val="nil"/>
            </w:tcBorders>
          </w:tcPr>
          <w:p w:rsidR="009220C5" w:rsidRDefault="00AF6027">
            <w:pPr>
              <w:spacing w:after="0" w:line="259" w:lineRule="auto"/>
              <w:ind w:right="0" w:firstLine="0"/>
              <w:jc w:val="left"/>
            </w:pPr>
            <w:r>
              <w:rPr>
                <w:sz w:val="18"/>
              </w:rPr>
              <w:t>79 (26.9)</w:t>
            </w:r>
          </w:p>
        </w:tc>
        <w:tc>
          <w:tcPr>
            <w:tcW w:w="1498" w:type="dxa"/>
            <w:tcBorders>
              <w:top w:val="nil"/>
              <w:left w:val="nil"/>
              <w:bottom w:val="nil"/>
              <w:right w:val="nil"/>
            </w:tcBorders>
          </w:tcPr>
          <w:p w:rsidR="009220C5" w:rsidRDefault="00AF6027">
            <w:pPr>
              <w:spacing w:after="0" w:line="259" w:lineRule="auto"/>
              <w:ind w:left="141" w:right="0" w:firstLine="0"/>
              <w:jc w:val="left"/>
            </w:pPr>
            <w:r>
              <w:rPr>
                <w:sz w:val="18"/>
              </w:rPr>
              <w:t>33 (50.8)</w:t>
            </w:r>
          </w:p>
        </w:tc>
        <w:tc>
          <w:tcPr>
            <w:tcW w:w="939" w:type="dxa"/>
            <w:tcBorders>
              <w:top w:val="nil"/>
              <w:left w:val="nil"/>
              <w:bottom w:val="nil"/>
              <w:right w:val="nil"/>
            </w:tcBorders>
          </w:tcPr>
          <w:p w:rsidR="009220C5" w:rsidRDefault="00AF6027">
            <w:pPr>
              <w:spacing w:after="0" w:line="259" w:lineRule="auto"/>
              <w:ind w:left="29" w:right="0" w:firstLine="0"/>
              <w:jc w:val="left"/>
            </w:pPr>
            <w:r>
              <w:rPr>
                <w:sz w:val="18"/>
              </w:rPr>
              <w:t>&lt;0.001</w:t>
            </w:r>
          </w:p>
        </w:tc>
      </w:tr>
      <w:tr w:rsidR="009220C5">
        <w:trPr>
          <w:trHeight w:val="245"/>
        </w:trPr>
        <w:tc>
          <w:tcPr>
            <w:tcW w:w="3327" w:type="dxa"/>
            <w:tcBorders>
              <w:top w:val="nil"/>
              <w:left w:val="nil"/>
              <w:bottom w:val="single" w:sz="2" w:space="0" w:color="000000"/>
              <w:right w:val="nil"/>
            </w:tcBorders>
          </w:tcPr>
          <w:p w:rsidR="009220C5" w:rsidRDefault="00AF6027">
            <w:pPr>
              <w:spacing w:after="0" w:line="259" w:lineRule="auto"/>
              <w:ind w:left="225" w:right="0" w:firstLine="0"/>
              <w:jc w:val="left"/>
            </w:pPr>
            <w:r>
              <w:rPr>
                <w:sz w:val="18"/>
              </w:rPr>
              <w:t>Transferred to ICUs</w:t>
            </w:r>
          </w:p>
        </w:tc>
        <w:tc>
          <w:tcPr>
            <w:tcW w:w="1396" w:type="dxa"/>
            <w:tcBorders>
              <w:top w:val="nil"/>
              <w:left w:val="nil"/>
              <w:bottom w:val="single" w:sz="2" w:space="0" w:color="000000"/>
              <w:right w:val="nil"/>
            </w:tcBorders>
          </w:tcPr>
          <w:p w:rsidR="009220C5" w:rsidRDefault="00AF6027">
            <w:pPr>
              <w:spacing w:after="0" w:line="259" w:lineRule="auto"/>
              <w:ind w:left="131" w:right="0" w:firstLine="0"/>
              <w:jc w:val="left"/>
            </w:pPr>
            <w:r>
              <w:rPr>
                <w:sz w:val="18"/>
              </w:rPr>
              <w:t>19 (5.3)</w:t>
            </w:r>
          </w:p>
        </w:tc>
        <w:tc>
          <w:tcPr>
            <w:tcW w:w="1169" w:type="dxa"/>
            <w:tcBorders>
              <w:top w:val="nil"/>
              <w:left w:val="nil"/>
              <w:bottom w:val="single" w:sz="2" w:space="0" w:color="000000"/>
              <w:right w:val="nil"/>
            </w:tcBorders>
          </w:tcPr>
          <w:p w:rsidR="009220C5" w:rsidRDefault="00AF6027">
            <w:pPr>
              <w:spacing w:after="0" w:line="259" w:lineRule="auto"/>
              <w:ind w:left="45" w:right="0" w:firstLine="0"/>
              <w:jc w:val="left"/>
            </w:pPr>
            <w:r>
              <w:rPr>
                <w:sz w:val="18"/>
              </w:rPr>
              <w:t>11 (3.7)</w:t>
            </w:r>
          </w:p>
        </w:tc>
        <w:tc>
          <w:tcPr>
            <w:tcW w:w="1498" w:type="dxa"/>
            <w:tcBorders>
              <w:top w:val="nil"/>
              <w:left w:val="nil"/>
              <w:bottom w:val="single" w:sz="2" w:space="0" w:color="000000"/>
              <w:right w:val="nil"/>
            </w:tcBorders>
          </w:tcPr>
          <w:p w:rsidR="009220C5" w:rsidRDefault="00AF6027">
            <w:pPr>
              <w:spacing w:after="0" w:line="259" w:lineRule="auto"/>
              <w:ind w:left="186" w:right="0" w:firstLine="0"/>
              <w:jc w:val="left"/>
            </w:pPr>
            <w:r>
              <w:rPr>
                <w:sz w:val="18"/>
              </w:rPr>
              <w:t>8 (12.3)</w:t>
            </w:r>
          </w:p>
        </w:tc>
        <w:tc>
          <w:tcPr>
            <w:tcW w:w="939" w:type="dxa"/>
            <w:tcBorders>
              <w:top w:val="nil"/>
              <w:left w:val="nil"/>
              <w:bottom w:val="single" w:sz="2" w:space="0" w:color="000000"/>
              <w:right w:val="nil"/>
            </w:tcBorders>
          </w:tcPr>
          <w:p w:rsidR="009220C5" w:rsidRDefault="00AF6027">
            <w:pPr>
              <w:spacing w:after="0" w:line="259" w:lineRule="auto"/>
              <w:ind w:left="80" w:right="0" w:firstLine="0"/>
              <w:jc w:val="left"/>
            </w:pPr>
            <w:r>
              <w:rPr>
                <w:sz w:val="18"/>
              </w:rPr>
              <w:t>0.011</w:t>
            </w:r>
          </w:p>
        </w:tc>
      </w:tr>
    </w:tbl>
    <w:p w:rsidR="009220C5" w:rsidRDefault="00AF6027">
      <w:pPr>
        <w:spacing w:after="0" w:line="260" w:lineRule="auto"/>
        <w:ind w:left="10" w:right="0" w:hanging="10"/>
      </w:pPr>
      <w:r>
        <w:rPr>
          <w:sz w:val="18"/>
        </w:rPr>
        <w:t>Abbreviations: yrs=years; SD=standard deviation; n=number; COPD=chronic obstructive pulmonary disease; ICUs=intensive care units.</w:t>
      </w:r>
    </w:p>
    <w:p w:rsidR="009220C5" w:rsidRDefault="00AF6027">
      <w:pPr>
        <w:spacing w:after="0" w:line="260" w:lineRule="auto"/>
        <w:ind w:left="167" w:right="0" w:hanging="10"/>
      </w:pPr>
      <w:r>
        <w:rPr>
          <w:sz w:val="18"/>
        </w:rPr>
        <w:t>Table 2 - Distribution of microorganisms isolated from blood cultures according to clinical conditions and antibiotic resistance</w:t>
      </w:r>
    </w:p>
    <w:tbl>
      <w:tblPr>
        <w:tblStyle w:val="TableGrid"/>
        <w:tblW w:w="8324" w:type="dxa"/>
        <w:tblInd w:w="172" w:type="dxa"/>
        <w:tblCellMar>
          <w:top w:w="23" w:type="dxa"/>
          <w:left w:w="0" w:type="dxa"/>
          <w:bottom w:w="17" w:type="dxa"/>
          <w:right w:w="115" w:type="dxa"/>
        </w:tblCellMar>
        <w:tblLook w:val="04A0" w:firstRow="1" w:lastRow="0" w:firstColumn="1" w:lastColumn="0" w:noHBand="0" w:noVBand="1"/>
      </w:tblPr>
      <w:tblGrid>
        <w:gridCol w:w="2696"/>
        <w:gridCol w:w="1687"/>
        <w:gridCol w:w="1504"/>
        <w:gridCol w:w="1575"/>
        <w:gridCol w:w="861"/>
      </w:tblGrid>
      <w:tr w:rsidR="009220C5">
        <w:trPr>
          <w:trHeight w:val="470"/>
        </w:trPr>
        <w:tc>
          <w:tcPr>
            <w:tcW w:w="2696" w:type="dxa"/>
            <w:tcBorders>
              <w:top w:val="single" w:sz="2" w:space="0" w:color="000000"/>
              <w:left w:val="nil"/>
              <w:bottom w:val="single" w:sz="2" w:space="0" w:color="000000"/>
              <w:right w:val="nil"/>
            </w:tcBorders>
          </w:tcPr>
          <w:p w:rsidR="009220C5" w:rsidRDefault="009220C5">
            <w:pPr>
              <w:spacing w:after="160" w:line="259" w:lineRule="auto"/>
              <w:ind w:right="0" w:firstLine="0"/>
              <w:jc w:val="left"/>
            </w:pPr>
          </w:p>
        </w:tc>
        <w:tc>
          <w:tcPr>
            <w:tcW w:w="1687" w:type="dxa"/>
            <w:tcBorders>
              <w:top w:val="single" w:sz="2" w:space="0" w:color="000000"/>
              <w:left w:val="nil"/>
              <w:bottom w:val="single" w:sz="2" w:space="0" w:color="000000"/>
              <w:right w:val="nil"/>
            </w:tcBorders>
          </w:tcPr>
          <w:p w:rsidR="009220C5" w:rsidRDefault="00AF6027">
            <w:pPr>
              <w:spacing w:after="0" w:line="259" w:lineRule="auto"/>
              <w:ind w:left="187" w:right="275" w:hanging="187"/>
              <w:jc w:val="left"/>
            </w:pPr>
            <w:r>
              <w:rPr>
                <w:sz w:val="18"/>
              </w:rPr>
              <w:t>All patients n=359</w:t>
            </w:r>
          </w:p>
        </w:tc>
        <w:tc>
          <w:tcPr>
            <w:tcW w:w="1504" w:type="dxa"/>
            <w:tcBorders>
              <w:top w:val="single" w:sz="2" w:space="0" w:color="000000"/>
              <w:left w:val="nil"/>
              <w:bottom w:val="single" w:sz="2" w:space="0" w:color="000000"/>
              <w:right w:val="nil"/>
            </w:tcBorders>
          </w:tcPr>
          <w:p w:rsidR="009220C5" w:rsidRDefault="00AF6027">
            <w:pPr>
              <w:spacing w:after="0" w:line="259" w:lineRule="auto"/>
              <w:ind w:left="144" w:right="323" w:firstLine="1"/>
              <w:jc w:val="left"/>
            </w:pPr>
            <w:r>
              <w:rPr>
                <w:sz w:val="18"/>
              </w:rPr>
              <w:t>Sepsis n=294</w:t>
            </w:r>
          </w:p>
        </w:tc>
        <w:tc>
          <w:tcPr>
            <w:tcW w:w="1575" w:type="dxa"/>
            <w:tcBorders>
              <w:top w:val="single" w:sz="2" w:space="0" w:color="000000"/>
              <w:left w:val="nil"/>
              <w:bottom w:val="single" w:sz="2" w:space="0" w:color="000000"/>
              <w:right w:val="nil"/>
            </w:tcBorders>
          </w:tcPr>
          <w:p w:rsidR="009220C5" w:rsidRDefault="00AF6027">
            <w:pPr>
              <w:spacing w:after="0" w:line="259" w:lineRule="auto"/>
              <w:ind w:left="292" w:right="134" w:hanging="292"/>
              <w:jc w:val="left"/>
            </w:pPr>
            <w:r>
              <w:rPr>
                <w:sz w:val="18"/>
              </w:rPr>
              <w:t>Sepsis Shock n=65</w:t>
            </w:r>
          </w:p>
        </w:tc>
        <w:tc>
          <w:tcPr>
            <w:tcW w:w="861" w:type="dxa"/>
            <w:tcBorders>
              <w:top w:val="single" w:sz="2" w:space="0" w:color="000000"/>
              <w:left w:val="nil"/>
              <w:bottom w:val="single" w:sz="2" w:space="0" w:color="000000"/>
              <w:right w:val="nil"/>
            </w:tcBorders>
            <w:vAlign w:val="center"/>
          </w:tcPr>
          <w:p w:rsidR="009220C5" w:rsidRDefault="00AF6027">
            <w:pPr>
              <w:spacing w:after="0" w:line="259" w:lineRule="auto"/>
              <w:ind w:right="0" w:firstLine="0"/>
              <w:jc w:val="left"/>
            </w:pPr>
            <w:r>
              <w:rPr>
                <w:b/>
                <w:sz w:val="18"/>
              </w:rPr>
              <w:t>p-value</w:t>
            </w:r>
          </w:p>
        </w:tc>
      </w:tr>
      <w:tr w:rsidR="009220C5">
        <w:trPr>
          <w:trHeight w:val="260"/>
        </w:trPr>
        <w:tc>
          <w:tcPr>
            <w:tcW w:w="2696" w:type="dxa"/>
            <w:tcBorders>
              <w:top w:val="single" w:sz="2" w:space="0" w:color="000000"/>
              <w:left w:val="nil"/>
              <w:bottom w:val="nil"/>
              <w:right w:val="nil"/>
            </w:tcBorders>
          </w:tcPr>
          <w:p w:rsidR="009220C5" w:rsidRDefault="00AF6027">
            <w:pPr>
              <w:spacing w:after="0" w:line="259" w:lineRule="auto"/>
              <w:ind w:left="57" w:right="0" w:firstLine="0"/>
              <w:jc w:val="left"/>
            </w:pPr>
            <w:r>
              <w:rPr>
                <w:b/>
                <w:sz w:val="18"/>
              </w:rPr>
              <w:t>Positive blood culture n (%)</w:t>
            </w:r>
          </w:p>
        </w:tc>
        <w:tc>
          <w:tcPr>
            <w:tcW w:w="1687" w:type="dxa"/>
            <w:tcBorders>
              <w:top w:val="single" w:sz="2" w:space="0" w:color="000000"/>
              <w:left w:val="nil"/>
              <w:bottom w:val="nil"/>
              <w:right w:val="nil"/>
            </w:tcBorders>
          </w:tcPr>
          <w:p w:rsidR="009220C5" w:rsidRDefault="00AF6027">
            <w:pPr>
              <w:spacing w:after="0" w:line="259" w:lineRule="auto"/>
              <w:ind w:left="42" w:right="0" w:firstLine="0"/>
              <w:jc w:val="left"/>
            </w:pPr>
            <w:r>
              <w:rPr>
                <w:sz w:val="18"/>
              </w:rPr>
              <w:t>159 (44.3)</w:t>
            </w:r>
          </w:p>
        </w:tc>
        <w:tc>
          <w:tcPr>
            <w:tcW w:w="1504" w:type="dxa"/>
            <w:tcBorders>
              <w:top w:val="single" w:sz="2" w:space="0" w:color="000000"/>
              <w:left w:val="nil"/>
              <w:bottom w:val="nil"/>
              <w:right w:val="nil"/>
            </w:tcBorders>
          </w:tcPr>
          <w:p w:rsidR="009220C5" w:rsidRDefault="00AF6027">
            <w:pPr>
              <w:spacing w:after="0" w:line="259" w:lineRule="auto"/>
              <w:ind w:right="0" w:firstLine="0"/>
              <w:jc w:val="left"/>
            </w:pPr>
            <w:r>
              <w:rPr>
                <w:sz w:val="18"/>
              </w:rPr>
              <w:t>133 (45.2)</w:t>
            </w:r>
          </w:p>
        </w:tc>
        <w:tc>
          <w:tcPr>
            <w:tcW w:w="1575" w:type="dxa"/>
            <w:tcBorders>
              <w:top w:val="single" w:sz="2" w:space="0" w:color="000000"/>
              <w:left w:val="nil"/>
              <w:bottom w:val="nil"/>
              <w:right w:val="nil"/>
            </w:tcBorders>
          </w:tcPr>
          <w:p w:rsidR="009220C5" w:rsidRDefault="00AF6027">
            <w:pPr>
              <w:spacing w:after="0" w:line="259" w:lineRule="auto"/>
              <w:ind w:left="148" w:right="0" w:firstLine="0"/>
              <w:jc w:val="left"/>
            </w:pPr>
            <w:r>
              <w:rPr>
                <w:sz w:val="18"/>
              </w:rPr>
              <w:t>26 (40.0)</w:t>
            </w:r>
          </w:p>
        </w:tc>
        <w:tc>
          <w:tcPr>
            <w:tcW w:w="861" w:type="dxa"/>
            <w:tcBorders>
              <w:top w:val="single" w:sz="2" w:space="0" w:color="000000"/>
              <w:left w:val="nil"/>
              <w:bottom w:val="nil"/>
              <w:right w:val="nil"/>
            </w:tcBorders>
          </w:tcPr>
          <w:p w:rsidR="009220C5" w:rsidRDefault="00AF6027">
            <w:pPr>
              <w:spacing w:after="0" w:line="259" w:lineRule="auto"/>
              <w:ind w:left="82" w:right="0" w:firstLine="0"/>
              <w:jc w:val="left"/>
            </w:pPr>
            <w:r>
              <w:rPr>
                <w:sz w:val="18"/>
              </w:rPr>
              <w:t>0.442</w:t>
            </w:r>
          </w:p>
        </w:tc>
      </w:tr>
      <w:tr w:rsidR="009220C5">
        <w:trPr>
          <w:trHeight w:val="258"/>
        </w:trPr>
        <w:tc>
          <w:tcPr>
            <w:tcW w:w="2696" w:type="dxa"/>
            <w:tcBorders>
              <w:top w:val="nil"/>
              <w:left w:val="nil"/>
              <w:bottom w:val="nil"/>
              <w:right w:val="nil"/>
            </w:tcBorders>
          </w:tcPr>
          <w:p w:rsidR="009220C5" w:rsidRDefault="00AF6027">
            <w:pPr>
              <w:spacing w:after="0" w:line="259" w:lineRule="auto"/>
              <w:ind w:left="57" w:right="0" w:firstLine="0"/>
              <w:jc w:val="left"/>
            </w:pPr>
            <w:r>
              <w:rPr>
                <w:b/>
                <w:sz w:val="18"/>
              </w:rPr>
              <w:t>Gram positive n (%)</w:t>
            </w:r>
          </w:p>
        </w:tc>
        <w:tc>
          <w:tcPr>
            <w:tcW w:w="1687" w:type="dxa"/>
            <w:tcBorders>
              <w:top w:val="nil"/>
              <w:left w:val="nil"/>
              <w:bottom w:val="nil"/>
              <w:right w:val="nil"/>
            </w:tcBorders>
          </w:tcPr>
          <w:p w:rsidR="009220C5" w:rsidRDefault="00AF6027">
            <w:pPr>
              <w:spacing w:after="0" w:line="259" w:lineRule="auto"/>
              <w:ind w:left="87" w:right="0" w:firstLine="0"/>
              <w:jc w:val="left"/>
            </w:pPr>
            <w:r>
              <w:rPr>
                <w:sz w:val="18"/>
              </w:rPr>
              <w:t>77 (48.4)</w:t>
            </w:r>
          </w:p>
        </w:tc>
        <w:tc>
          <w:tcPr>
            <w:tcW w:w="1504" w:type="dxa"/>
            <w:tcBorders>
              <w:top w:val="nil"/>
              <w:left w:val="nil"/>
              <w:bottom w:val="nil"/>
              <w:right w:val="nil"/>
            </w:tcBorders>
          </w:tcPr>
          <w:p w:rsidR="009220C5" w:rsidRDefault="00AF6027">
            <w:pPr>
              <w:spacing w:after="0" w:line="259" w:lineRule="auto"/>
              <w:ind w:left="45" w:right="0" w:firstLine="0"/>
              <w:jc w:val="left"/>
            </w:pPr>
            <w:r>
              <w:rPr>
                <w:sz w:val="18"/>
              </w:rPr>
              <w:t>66 (49.6)</w:t>
            </w:r>
          </w:p>
        </w:tc>
        <w:tc>
          <w:tcPr>
            <w:tcW w:w="1575" w:type="dxa"/>
            <w:tcBorders>
              <w:top w:val="nil"/>
              <w:left w:val="nil"/>
              <w:bottom w:val="nil"/>
              <w:right w:val="nil"/>
            </w:tcBorders>
          </w:tcPr>
          <w:p w:rsidR="009220C5" w:rsidRDefault="00AF6027">
            <w:pPr>
              <w:spacing w:after="0" w:line="259" w:lineRule="auto"/>
              <w:ind w:left="148" w:right="0" w:firstLine="0"/>
              <w:jc w:val="left"/>
            </w:pPr>
            <w:r>
              <w:rPr>
                <w:sz w:val="18"/>
              </w:rPr>
              <w:t>11 (42.3)</w:t>
            </w:r>
          </w:p>
        </w:tc>
        <w:tc>
          <w:tcPr>
            <w:tcW w:w="861" w:type="dxa"/>
            <w:tcBorders>
              <w:top w:val="nil"/>
              <w:left w:val="nil"/>
              <w:bottom w:val="nil"/>
              <w:right w:val="nil"/>
            </w:tcBorders>
          </w:tcPr>
          <w:p w:rsidR="009220C5" w:rsidRDefault="00AF6027">
            <w:pPr>
              <w:spacing w:after="0" w:line="259" w:lineRule="auto"/>
              <w:ind w:left="82" w:right="0" w:firstLine="0"/>
              <w:jc w:val="left"/>
            </w:pPr>
            <w:r>
              <w:rPr>
                <w:sz w:val="18"/>
              </w:rPr>
              <w:t>0.495</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7" w:right="0" w:firstLine="0"/>
              <w:jc w:val="left"/>
            </w:pPr>
            <w:r>
              <w:rPr>
                <w:i/>
                <w:sz w:val="18"/>
              </w:rPr>
              <w:t xml:space="preserve">Staphilococcus </w:t>
            </w:r>
            <w:r>
              <w:rPr>
                <w:sz w:val="18"/>
              </w:rPr>
              <w:t>spp</w:t>
            </w:r>
            <w:r>
              <w:rPr>
                <w:i/>
                <w:sz w:val="18"/>
              </w:rPr>
              <w:t>.</w:t>
            </w:r>
          </w:p>
        </w:tc>
        <w:tc>
          <w:tcPr>
            <w:tcW w:w="1687" w:type="dxa"/>
            <w:tcBorders>
              <w:top w:val="nil"/>
              <w:left w:val="nil"/>
              <w:bottom w:val="nil"/>
              <w:right w:val="nil"/>
            </w:tcBorders>
          </w:tcPr>
          <w:p w:rsidR="009220C5" w:rsidRDefault="00AF6027">
            <w:pPr>
              <w:spacing w:after="0" w:line="259" w:lineRule="auto"/>
              <w:ind w:left="87" w:right="0" w:firstLine="0"/>
              <w:jc w:val="left"/>
            </w:pPr>
            <w:r>
              <w:rPr>
                <w:sz w:val="18"/>
              </w:rPr>
              <w:t>63 (39.6)</w:t>
            </w:r>
          </w:p>
        </w:tc>
        <w:tc>
          <w:tcPr>
            <w:tcW w:w="1504" w:type="dxa"/>
            <w:tcBorders>
              <w:top w:val="nil"/>
              <w:left w:val="nil"/>
              <w:bottom w:val="nil"/>
              <w:right w:val="nil"/>
            </w:tcBorders>
          </w:tcPr>
          <w:p w:rsidR="009220C5" w:rsidRDefault="00AF6027">
            <w:pPr>
              <w:spacing w:after="0" w:line="259" w:lineRule="auto"/>
              <w:ind w:left="45" w:right="0" w:firstLine="0"/>
              <w:jc w:val="left"/>
            </w:pPr>
            <w:r>
              <w:rPr>
                <w:sz w:val="18"/>
              </w:rPr>
              <w:t>52 (39.1)</w:t>
            </w:r>
          </w:p>
        </w:tc>
        <w:tc>
          <w:tcPr>
            <w:tcW w:w="1575" w:type="dxa"/>
            <w:tcBorders>
              <w:top w:val="nil"/>
              <w:left w:val="nil"/>
              <w:bottom w:val="nil"/>
              <w:right w:val="nil"/>
            </w:tcBorders>
          </w:tcPr>
          <w:p w:rsidR="009220C5" w:rsidRDefault="00AF6027">
            <w:pPr>
              <w:spacing w:after="0" w:line="259" w:lineRule="auto"/>
              <w:ind w:left="148" w:right="0" w:firstLine="0"/>
              <w:jc w:val="left"/>
            </w:pPr>
            <w:r>
              <w:rPr>
                <w:sz w:val="18"/>
              </w:rPr>
              <w:t>11 (42.3)</w:t>
            </w:r>
          </w:p>
        </w:tc>
        <w:tc>
          <w:tcPr>
            <w:tcW w:w="861" w:type="dxa"/>
            <w:tcBorders>
              <w:top w:val="nil"/>
              <w:left w:val="nil"/>
              <w:bottom w:val="nil"/>
              <w:right w:val="nil"/>
            </w:tcBorders>
          </w:tcPr>
          <w:p w:rsidR="009220C5" w:rsidRDefault="00AF6027">
            <w:pPr>
              <w:spacing w:after="0" w:line="259" w:lineRule="auto"/>
              <w:ind w:left="82" w:right="0" w:firstLine="0"/>
              <w:jc w:val="left"/>
            </w:pPr>
            <w:r>
              <w:rPr>
                <w:sz w:val="18"/>
              </w:rPr>
              <w:t>0.760</w:t>
            </w: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MRSA</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4 (6.3)</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3 (5.8)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1 (9.1)</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MDR</w:t>
            </w:r>
          </w:p>
        </w:tc>
        <w:tc>
          <w:tcPr>
            <w:tcW w:w="1687" w:type="dxa"/>
            <w:tcBorders>
              <w:top w:val="nil"/>
              <w:left w:val="nil"/>
              <w:bottom w:val="nil"/>
              <w:right w:val="nil"/>
            </w:tcBorders>
          </w:tcPr>
          <w:p w:rsidR="009220C5" w:rsidRDefault="00AF6027">
            <w:pPr>
              <w:spacing w:after="0" w:line="259" w:lineRule="auto"/>
              <w:ind w:left="87" w:right="0" w:firstLine="0"/>
              <w:jc w:val="left"/>
            </w:pPr>
            <w:r>
              <w:rPr>
                <w:sz w:val="18"/>
              </w:rPr>
              <w:t>12 (19.0)</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7 (13.5)</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5 (45.5)</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Streptococcus </w:t>
            </w:r>
            <w:r>
              <w:rPr>
                <w:sz w:val="18"/>
              </w:rPr>
              <w:t>spp</w:t>
            </w:r>
            <w:r>
              <w:rPr>
                <w:i/>
                <w:sz w:val="18"/>
              </w:rPr>
              <w:t>.</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2 (1.3)</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2 (1.5)</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Enterococcus </w:t>
            </w:r>
            <w:r>
              <w:rPr>
                <w:sz w:val="18"/>
              </w:rPr>
              <w:t>spp</w:t>
            </w:r>
            <w:r>
              <w:rPr>
                <w:i/>
                <w:sz w:val="18"/>
              </w:rPr>
              <w: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13 (8.2)</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13 (9.8)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0.129</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Carbapenem-resistant</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(7.7)</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(7.7)</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MDR</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5 (38.5)</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5 (38.5)</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1"/>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Listeria</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8"/>
        </w:trPr>
        <w:tc>
          <w:tcPr>
            <w:tcW w:w="2696" w:type="dxa"/>
            <w:tcBorders>
              <w:top w:val="nil"/>
              <w:left w:val="nil"/>
              <w:bottom w:val="nil"/>
              <w:right w:val="nil"/>
            </w:tcBorders>
          </w:tcPr>
          <w:p w:rsidR="009220C5" w:rsidRDefault="00AF6027">
            <w:pPr>
              <w:spacing w:after="0" w:line="259" w:lineRule="auto"/>
              <w:ind w:left="56" w:right="0" w:firstLine="0"/>
              <w:jc w:val="left"/>
            </w:pPr>
            <w:r>
              <w:rPr>
                <w:b/>
                <w:sz w:val="18"/>
              </w:rPr>
              <w:t>Gram negative n (%)</w:t>
            </w:r>
          </w:p>
        </w:tc>
        <w:tc>
          <w:tcPr>
            <w:tcW w:w="1687" w:type="dxa"/>
            <w:tcBorders>
              <w:top w:val="nil"/>
              <w:left w:val="nil"/>
              <w:bottom w:val="nil"/>
              <w:right w:val="nil"/>
            </w:tcBorders>
          </w:tcPr>
          <w:p w:rsidR="009220C5" w:rsidRDefault="00AF6027">
            <w:pPr>
              <w:spacing w:after="0" w:line="259" w:lineRule="auto"/>
              <w:ind w:left="87" w:right="0" w:firstLine="0"/>
              <w:jc w:val="left"/>
            </w:pPr>
            <w:r>
              <w:rPr>
                <w:sz w:val="18"/>
              </w:rPr>
              <w:t>87 (54.7)</w:t>
            </w:r>
          </w:p>
        </w:tc>
        <w:tc>
          <w:tcPr>
            <w:tcW w:w="1504" w:type="dxa"/>
            <w:tcBorders>
              <w:top w:val="nil"/>
              <w:left w:val="nil"/>
              <w:bottom w:val="nil"/>
              <w:right w:val="nil"/>
            </w:tcBorders>
          </w:tcPr>
          <w:p w:rsidR="009220C5" w:rsidRDefault="00AF6027">
            <w:pPr>
              <w:spacing w:after="0" w:line="259" w:lineRule="auto"/>
              <w:ind w:left="45" w:right="0" w:firstLine="0"/>
              <w:jc w:val="left"/>
            </w:pPr>
            <w:r>
              <w:rPr>
                <w:sz w:val="18"/>
              </w:rPr>
              <w:t>70 (52.6)</w:t>
            </w:r>
          </w:p>
        </w:tc>
        <w:tc>
          <w:tcPr>
            <w:tcW w:w="1575" w:type="dxa"/>
            <w:tcBorders>
              <w:top w:val="nil"/>
              <w:left w:val="nil"/>
              <w:bottom w:val="nil"/>
              <w:right w:val="nil"/>
            </w:tcBorders>
          </w:tcPr>
          <w:p w:rsidR="009220C5" w:rsidRDefault="00AF6027">
            <w:pPr>
              <w:spacing w:after="0" w:line="259" w:lineRule="auto"/>
              <w:ind w:left="147" w:right="0" w:firstLine="0"/>
              <w:jc w:val="left"/>
            </w:pPr>
            <w:r>
              <w:rPr>
                <w:sz w:val="18"/>
              </w:rPr>
              <w:t>17 (65.4)</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0.232</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Acinetobacter spp.</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12 (7.5)</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9 (6.8)</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3 (11.5)</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0.417</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    Carbapenem-resistant</w:t>
            </w:r>
          </w:p>
        </w:tc>
        <w:tc>
          <w:tcPr>
            <w:tcW w:w="1687" w:type="dxa"/>
            <w:tcBorders>
              <w:top w:val="nil"/>
              <w:left w:val="nil"/>
              <w:bottom w:val="nil"/>
              <w:right w:val="nil"/>
            </w:tcBorders>
          </w:tcPr>
          <w:p w:rsidR="009220C5" w:rsidRDefault="009220C5">
            <w:pPr>
              <w:spacing w:after="160" w:line="259" w:lineRule="auto"/>
              <w:ind w:right="0" w:firstLine="0"/>
              <w:jc w:val="left"/>
            </w:pP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4 (44.4)</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1 (33.3)</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MDR</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3 (25.0)</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3 (33.3)</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Aeromonas</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Chlamidia</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E. coli</w:t>
            </w:r>
          </w:p>
        </w:tc>
        <w:tc>
          <w:tcPr>
            <w:tcW w:w="1687" w:type="dxa"/>
            <w:tcBorders>
              <w:top w:val="nil"/>
              <w:left w:val="nil"/>
              <w:bottom w:val="nil"/>
              <w:right w:val="nil"/>
            </w:tcBorders>
          </w:tcPr>
          <w:p w:rsidR="009220C5" w:rsidRDefault="00AF6027">
            <w:pPr>
              <w:spacing w:after="0" w:line="259" w:lineRule="auto"/>
              <w:ind w:left="87" w:right="0" w:firstLine="0"/>
              <w:jc w:val="left"/>
            </w:pPr>
            <w:r>
              <w:rPr>
                <w:sz w:val="18"/>
              </w:rPr>
              <w:t>38 (23.9)</w:t>
            </w:r>
          </w:p>
        </w:tc>
        <w:tc>
          <w:tcPr>
            <w:tcW w:w="1504" w:type="dxa"/>
            <w:tcBorders>
              <w:top w:val="nil"/>
              <w:left w:val="nil"/>
              <w:bottom w:val="nil"/>
              <w:right w:val="nil"/>
            </w:tcBorders>
          </w:tcPr>
          <w:p w:rsidR="009220C5" w:rsidRDefault="00AF6027">
            <w:pPr>
              <w:spacing w:after="0" w:line="259" w:lineRule="auto"/>
              <w:ind w:left="45" w:right="0" w:firstLine="0"/>
              <w:jc w:val="left"/>
            </w:pPr>
            <w:r>
              <w:rPr>
                <w:sz w:val="18"/>
              </w:rPr>
              <w:t>33 (24.8)</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5 (19.2)</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0.542</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ESBL</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7 (18.4)</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5 (15.2)</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2 (40.0)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   Carbapenem-resistant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7 (18.4)</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5 (15.2)</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2 (40.0)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    MDR</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8 (21.1)</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7 (21.2)</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1 (20.0)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Citrobacter</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Enterobacter</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Klebsiella </w:t>
            </w:r>
            <w:r>
              <w:rPr>
                <w:sz w:val="18"/>
              </w:rPr>
              <w:t>spp</w:t>
            </w:r>
            <w:r>
              <w:rPr>
                <w:i/>
                <w:sz w:val="18"/>
              </w:rPr>
              <w: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12 (7.5)</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9 (6.8)</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3 (11.5)</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0.461</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    Carbapenem-resistant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4 (30.8)</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3 (30.0)</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1 (33.3)</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MDR</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2 (15.4)</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1 (10.0)</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1 (33.3)</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PDR</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(7.7)</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0 (0.0)</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1 (33.3)</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Morganella</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2 (1.3)</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2 (1.5)</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Proteus spp.</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8 (5.0)</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3 (2.3)</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5 (19.2)</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0.003</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    Carbapenem-resistant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2 (25.0)</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0 (0.0)</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2 (40.0)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MDR</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4 (50.0)</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1 (33.3)</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3 (60.0)</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Providencia</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Pseudomonas </w:t>
            </w:r>
            <w:r>
              <w:rPr>
                <w:sz w:val="18"/>
              </w:rPr>
              <w:t>spp</w:t>
            </w:r>
            <w:r>
              <w:rPr>
                <w:i/>
                <w:sz w:val="18"/>
              </w:rPr>
              <w: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13 (8.2)</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10 (7.5)</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3 (11.5)</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0.448</w:t>
            </w:r>
          </w:p>
        </w:tc>
      </w:tr>
      <w:tr w:rsidR="009220C5">
        <w:trPr>
          <w:trHeight w:val="254"/>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 xml:space="preserve">    Carbapenem-resistant</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2 (15.4)</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1 (10.0)</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1 (33.3)</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4"/>
        </w:trPr>
        <w:tc>
          <w:tcPr>
            <w:tcW w:w="2696" w:type="dxa"/>
            <w:tcBorders>
              <w:top w:val="nil"/>
              <w:left w:val="nil"/>
              <w:bottom w:val="nil"/>
              <w:right w:val="nil"/>
            </w:tcBorders>
          </w:tcPr>
          <w:p w:rsidR="009220C5" w:rsidRDefault="00AF6027">
            <w:pPr>
              <w:spacing w:after="0" w:line="259" w:lineRule="auto"/>
              <w:ind w:left="567" w:right="0" w:firstLine="0"/>
              <w:jc w:val="left"/>
            </w:pPr>
            <w:r>
              <w:rPr>
                <w:i/>
                <w:sz w:val="18"/>
              </w:rPr>
              <w:t xml:space="preserve">MDR    </w:t>
            </w:r>
          </w:p>
        </w:tc>
        <w:tc>
          <w:tcPr>
            <w:tcW w:w="1687" w:type="dxa"/>
            <w:tcBorders>
              <w:top w:val="nil"/>
              <w:left w:val="nil"/>
              <w:bottom w:val="nil"/>
              <w:right w:val="nil"/>
            </w:tcBorders>
          </w:tcPr>
          <w:p w:rsidR="009220C5" w:rsidRDefault="00AF6027">
            <w:pPr>
              <w:spacing w:after="0" w:line="259" w:lineRule="auto"/>
              <w:ind w:left="132" w:right="0" w:firstLine="0"/>
              <w:jc w:val="left"/>
            </w:pPr>
            <w:r>
              <w:rPr>
                <w:sz w:val="18"/>
              </w:rPr>
              <w:t>4 (30.8)</w:t>
            </w:r>
          </w:p>
        </w:tc>
        <w:tc>
          <w:tcPr>
            <w:tcW w:w="1504" w:type="dxa"/>
            <w:tcBorders>
              <w:top w:val="nil"/>
              <w:left w:val="nil"/>
              <w:bottom w:val="nil"/>
              <w:right w:val="nil"/>
            </w:tcBorders>
          </w:tcPr>
          <w:p w:rsidR="009220C5" w:rsidRDefault="00AF6027">
            <w:pPr>
              <w:spacing w:after="0" w:line="259" w:lineRule="auto"/>
              <w:ind w:left="90" w:right="0" w:firstLine="0"/>
              <w:jc w:val="left"/>
            </w:pPr>
            <w:r>
              <w:rPr>
                <w:sz w:val="18"/>
              </w:rPr>
              <w:t>2 (20.0)</w:t>
            </w:r>
          </w:p>
        </w:tc>
        <w:tc>
          <w:tcPr>
            <w:tcW w:w="1575" w:type="dxa"/>
            <w:tcBorders>
              <w:top w:val="nil"/>
              <w:left w:val="nil"/>
              <w:bottom w:val="nil"/>
              <w:right w:val="nil"/>
            </w:tcBorders>
          </w:tcPr>
          <w:p w:rsidR="009220C5" w:rsidRDefault="00AF6027">
            <w:pPr>
              <w:spacing w:after="0" w:line="259" w:lineRule="auto"/>
              <w:ind w:left="192" w:right="0" w:firstLine="0"/>
              <w:jc w:val="left"/>
            </w:pPr>
            <w:r>
              <w:rPr>
                <w:sz w:val="18"/>
              </w:rPr>
              <w:t>2 (66.7)</w:t>
            </w:r>
          </w:p>
        </w:tc>
        <w:tc>
          <w:tcPr>
            <w:tcW w:w="861" w:type="dxa"/>
            <w:tcBorders>
              <w:top w:val="nil"/>
              <w:left w:val="nil"/>
              <w:bottom w:val="nil"/>
              <w:right w:val="nil"/>
            </w:tcBorders>
          </w:tcPr>
          <w:p w:rsidR="009220C5" w:rsidRDefault="009220C5">
            <w:pPr>
              <w:spacing w:after="160" w:line="259" w:lineRule="auto"/>
              <w:ind w:right="0" w:firstLine="0"/>
              <w:jc w:val="left"/>
            </w:pPr>
          </w:p>
        </w:tc>
      </w:tr>
      <w:tr w:rsidR="009220C5">
        <w:trPr>
          <w:trHeight w:val="251"/>
        </w:trPr>
        <w:tc>
          <w:tcPr>
            <w:tcW w:w="2696" w:type="dxa"/>
            <w:tcBorders>
              <w:top w:val="nil"/>
              <w:left w:val="nil"/>
              <w:bottom w:val="nil"/>
              <w:right w:val="nil"/>
            </w:tcBorders>
          </w:tcPr>
          <w:p w:rsidR="009220C5" w:rsidRDefault="00AF6027">
            <w:pPr>
              <w:spacing w:after="0" w:line="259" w:lineRule="auto"/>
              <w:ind w:left="226" w:right="0" w:firstLine="0"/>
              <w:jc w:val="left"/>
            </w:pPr>
            <w:r>
              <w:rPr>
                <w:i/>
                <w:sz w:val="18"/>
              </w:rPr>
              <w:t>Serratia</w:t>
            </w:r>
          </w:p>
        </w:tc>
        <w:tc>
          <w:tcPr>
            <w:tcW w:w="1687" w:type="dxa"/>
            <w:tcBorders>
              <w:top w:val="nil"/>
              <w:left w:val="nil"/>
              <w:bottom w:val="nil"/>
              <w:right w:val="nil"/>
            </w:tcBorders>
          </w:tcPr>
          <w:p w:rsidR="009220C5" w:rsidRDefault="00AF6027">
            <w:pPr>
              <w:spacing w:after="0" w:line="259" w:lineRule="auto"/>
              <w:ind w:left="177" w:right="0" w:firstLine="0"/>
              <w:jc w:val="left"/>
            </w:pPr>
            <w:r>
              <w:rPr>
                <w:sz w:val="18"/>
              </w:rPr>
              <w:t>1 (0.6)</w:t>
            </w:r>
          </w:p>
        </w:tc>
        <w:tc>
          <w:tcPr>
            <w:tcW w:w="1504" w:type="dxa"/>
            <w:tcBorders>
              <w:top w:val="nil"/>
              <w:left w:val="nil"/>
              <w:bottom w:val="nil"/>
              <w:right w:val="nil"/>
            </w:tcBorders>
          </w:tcPr>
          <w:p w:rsidR="009220C5" w:rsidRDefault="00AF6027">
            <w:pPr>
              <w:spacing w:after="0" w:line="259" w:lineRule="auto"/>
              <w:ind w:left="135" w:right="0" w:firstLine="0"/>
              <w:jc w:val="left"/>
            </w:pPr>
            <w:r>
              <w:rPr>
                <w:sz w:val="18"/>
              </w:rPr>
              <w:t>1 (0.8)</w:t>
            </w:r>
          </w:p>
        </w:tc>
        <w:tc>
          <w:tcPr>
            <w:tcW w:w="1575" w:type="dxa"/>
            <w:tcBorders>
              <w:top w:val="nil"/>
              <w:left w:val="nil"/>
              <w:bottom w:val="nil"/>
              <w:right w:val="nil"/>
            </w:tcBorders>
          </w:tcPr>
          <w:p w:rsidR="009220C5" w:rsidRDefault="00AF6027">
            <w:pPr>
              <w:spacing w:after="0" w:line="259" w:lineRule="auto"/>
              <w:ind w:left="237" w:right="0" w:firstLine="0"/>
              <w:jc w:val="left"/>
            </w:pPr>
            <w:r>
              <w:rPr>
                <w:sz w:val="18"/>
              </w:rPr>
              <w:t>0 (0.0)</w:t>
            </w:r>
          </w:p>
        </w:tc>
        <w:tc>
          <w:tcPr>
            <w:tcW w:w="861" w:type="dxa"/>
            <w:tcBorders>
              <w:top w:val="nil"/>
              <w:left w:val="nil"/>
              <w:bottom w:val="nil"/>
              <w:right w:val="nil"/>
            </w:tcBorders>
          </w:tcPr>
          <w:p w:rsidR="009220C5" w:rsidRDefault="00AF6027">
            <w:pPr>
              <w:spacing w:after="0" w:line="259" w:lineRule="auto"/>
              <w:ind w:left="81" w:right="0" w:firstLine="0"/>
              <w:jc w:val="left"/>
            </w:pPr>
            <w:r>
              <w:rPr>
                <w:sz w:val="18"/>
              </w:rPr>
              <w:t>1.000</w:t>
            </w:r>
          </w:p>
        </w:tc>
      </w:tr>
      <w:tr w:rsidR="009220C5">
        <w:trPr>
          <w:trHeight w:val="502"/>
        </w:trPr>
        <w:tc>
          <w:tcPr>
            <w:tcW w:w="2696" w:type="dxa"/>
            <w:tcBorders>
              <w:top w:val="nil"/>
              <w:left w:val="nil"/>
              <w:bottom w:val="single" w:sz="2" w:space="0" w:color="000000"/>
              <w:right w:val="nil"/>
            </w:tcBorders>
          </w:tcPr>
          <w:p w:rsidR="009220C5" w:rsidRDefault="00AF6027">
            <w:pPr>
              <w:spacing w:after="0" w:line="259" w:lineRule="auto"/>
              <w:ind w:left="56" w:right="919" w:firstLine="0"/>
              <w:jc w:val="left"/>
            </w:pPr>
            <w:r>
              <w:rPr>
                <w:b/>
                <w:sz w:val="18"/>
              </w:rPr>
              <w:t xml:space="preserve">Fungi, n (%) </w:t>
            </w:r>
            <w:r>
              <w:rPr>
                <w:i/>
                <w:sz w:val="18"/>
              </w:rPr>
              <w:t>Candida</w:t>
            </w:r>
            <w:r>
              <w:rPr>
                <w:sz w:val="18"/>
              </w:rPr>
              <w:t xml:space="preserve"> spp.</w:t>
            </w:r>
          </w:p>
        </w:tc>
        <w:tc>
          <w:tcPr>
            <w:tcW w:w="1687" w:type="dxa"/>
            <w:tcBorders>
              <w:top w:val="nil"/>
              <w:left w:val="nil"/>
              <w:bottom w:val="single" w:sz="2" w:space="0" w:color="000000"/>
              <w:right w:val="nil"/>
            </w:tcBorders>
            <w:vAlign w:val="bottom"/>
          </w:tcPr>
          <w:p w:rsidR="009220C5" w:rsidRDefault="00AF6027">
            <w:pPr>
              <w:spacing w:after="0" w:line="259" w:lineRule="auto"/>
              <w:ind w:left="102" w:right="0" w:firstLine="0"/>
              <w:jc w:val="left"/>
            </w:pPr>
            <w:r>
              <w:rPr>
                <w:sz w:val="18"/>
              </w:rPr>
              <w:t>5 (3.1%)</w:t>
            </w:r>
          </w:p>
        </w:tc>
        <w:tc>
          <w:tcPr>
            <w:tcW w:w="1504" w:type="dxa"/>
            <w:tcBorders>
              <w:top w:val="nil"/>
              <w:left w:val="nil"/>
              <w:bottom w:val="single" w:sz="2" w:space="0" w:color="000000"/>
              <w:right w:val="nil"/>
            </w:tcBorders>
            <w:vAlign w:val="bottom"/>
          </w:tcPr>
          <w:p w:rsidR="009220C5" w:rsidRDefault="00AF6027">
            <w:pPr>
              <w:spacing w:after="0" w:line="259" w:lineRule="auto"/>
              <w:ind w:left="60" w:right="0" w:firstLine="0"/>
              <w:jc w:val="left"/>
            </w:pPr>
            <w:r>
              <w:rPr>
                <w:sz w:val="18"/>
              </w:rPr>
              <w:t>4 (3.0%)</w:t>
            </w:r>
          </w:p>
        </w:tc>
        <w:tc>
          <w:tcPr>
            <w:tcW w:w="1575" w:type="dxa"/>
            <w:tcBorders>
              <w:top w:val="nil"/>
              <w:left w:val="nil"/>
              <w:bottom w:val="single" w:sz="2" w:space="0" w:color="000000"/>
              <w:right w:val="nil"/>
            </w:tcBorders>
            <w:vAlign w:val="bottom"/>
          </w:tcPr>
          <w:p w:rsidR="009220C5" w:rsidRDefault="00AF6027">
            <w:pPr>
              <w:spacing w:after="0" w:line="259" w:lineRule="auto"/>
              <w:ind w:left="162" w:right="0" w:firstLine="0"/>
              <w:jc w:val="left"/>
            </w:pPr>
            <w:r>
              <w:rPr>
                <w:sz w:val="18"/>
              </w:rPr>
              <w:t>1 (3.8%)</w:t>
            </w:r>
          </w:p>
        </w:tc>
        <w:tc>
          <w:tcPr>
            <w:tcW w:w="861" w:type="dxa"/>
            <w:tcBorders>
              <w:top w:val="nil"/>
              <w:left w:val="nil"/>
              <w:bottom w:val="single" w:sz="2" w:space="0" w:color="000000"/>
              <w:right w:val="nil"/>
            </w:tcBorders>
            <w:vAlign w:val="bottom"/>
          </w:tcPr>
          <w:p w:rsidR="009220C5" w:rsidRDefault="00AF6027">
            <w:pPr>
              <w:spacing w:after="0" w:line="259" w:lineRule="auto"/>
              <w:ind w:left="81" w:right="0" w:firstLine="0"/>
              <w:jc w:val="left"/>
            </w:pPr>
            <w:r>
              <w:rPr>
                <w:sz w:val="18"/>
              </w:rPr>
              <w:t>1.000</w:t>
            </w:r>
          </w:p>
        </w:tc>
      </w:tr>
    </w:tbl>
    <w:p w:rsidR="009220C5" w:rsidRDefault="00AF6027">
      <w:pPr>
        <w:spacing w:after="0" w:line="260" w:lineRule="auto"/>
        <w:ind w:left="167" w:right="0" w:hanging="10"/>
      </w:pPr>
      <w:r>
        <w:rPr>
          <w:sz w:val="18"/>
        </w:rPr>
        <w:t xml:space="preserve">Abbreviations: MRS=Methicillin-Resistant </w:t>
      </w:r>
      <w:r>
        <w:rPr>
          <w:i/>
          <w:sz w:val="18"/>
        </w:rPr>
        <w:t>Staphylococcus aureus</w:t>
      </w:r>
      <w:r>
        <w:rPr>
          <w:sz w:val="18"/>
        </w:rPr>
        <w:t>; MDR=Multidrug-resistant; PDR=Pandrug Resistant.</w:t>
      </w:r>
    </w:p>
    <w:p w:rsidR="009220C5" w:rsidRDefault="00AF6027">
      <w:pPr>
        <w:spacing w:after="0" w:line="260" w:lineRule="auto"/>
        <w:ind w:left="12" w:right="0" w:hanging="10"/>
      </w:pPr>
      <w:r>
        <w:rPr>
          <w:sz w:val="18"/>
        </w:rPr>
        <w:t>Table 3 - Univariate analysis comparing characteristics of survivors and non survivors</w:t>
      </w:r>
    </w:p>
    <w:tbl>
      <w:tblPr>
        <w:tblStyle w:val="TableGrid"/>
        <w:tblW w:w="8325" w:type="dxa"/>
        <w:tblInd w:w="2" w:type="dxa"/>
        <w:tblCellMar>
          <w:top w:w="27" w:type="dxa"/>
          <w:left w:w="0" w:type="dxa"/>
          <w:bottom w:w="0" w:type="dxa"/>
          <w:right w:w="115" w:type="dxa"/>
        </w:tblCellMar>
        <w:tblLook w:val="04A0" w:firstRow="1" w:lastRow="0" w:firstColumn="1" w:lastColumn="0" w:noHBand="0" w:noVBand="1"/>
      </w:tblPr>
      <w:tblGrid>
        <w:gridCol w:w="4216"/>
        <w:gridCol w:w="1353"/>
        <w:gridCol w:w="1725"/>
        <w:gridCol w:w="1031"/>
      </w:tblGrid>
      <w:tr w:rsidR="009220C5">
        <w:trPr>
          <w:trHeight w:val="470"/>
        </w:trPr>
        <w:tc>
          <w:tcPr>
            <w:tcW w:w="4216" w:type="dxa"/>
            <w:tcBorders>
              <w:top w:val="single" w:sz="2" w:space="0" w:color="000000"/>
              <w:left w:val="nil"/>
              <w:bottom w:val="single" w:sz="2" w:space="0" w:color="000000"/>
              <w:right w:val="nil"/>
            </w:tcBorders>
          </w:tcPr>
          <w:p w:rsidR="009220C5" w:rsidRDefault="009220C5">
            <w:pPr>
              <w:spacing w:after="160" w:line="259" w:lineRule="auto"/>
              <w:ind w:right="0" w:firstLine="0"/>
              <w:jc w:val="left"/>
            </w:pPr>
          </w:p>
        </w:tc>
        <w:tc>
          <w:tcPr>
            <w:tcW w:w="1353" w:type="dxa"/>
            <w:tcBorders>
              <w:top w:val="single" w:sz="2" w:space="0" w:color="000000"/>
              <w:left w:val="nil"/>
              <w:bottom w:val="single" w:sz="2" w:space="0" w:color="000000"/>
              <w:right w:val="nil"/>
            </w:tcBorders>
          </w:tcPr>
          <w:p w:rsidR="009220C5" w:rsidRDefault="00AF6027">
            <w:pPr>
              <w:spacing w:after="0" w:line="259" w:lineRule="auto"/>
              <w:ind w:left="144" w:right="55" w:hanging="115"/>
              <w:jc w:val="left"/>
            </w:pPr>
            <w:r>
              <w:rPr>
                <w:sz w:val="18"/>
              </w:rPr>
              <w:t>Survivors n=247</w:t>
            </w:r>
          </w:p>
        </w:tc>
        <w:tc>
          <w:tcPr>
            <w:tcW w:w="1725" w:type="dxa"/>
            <w:tcBorders>
              <w:top w:val="single" w:sz="2" w:space="0" w:color="000000"/>
              <w:left w:val="nil"/>
              <w:bottom w:val="single" w:sz="2" w:space="0" w:color="000000"/>
              <w:right w:val="nil"/>
            </w:tcBorders>
          </w:tcPr>
          <w:p w:rsidR="009220C5" w:rsidRDefault="00AF6027">
            <w:pPr>
              <w:spacing w:after="0" w:line="259" w:lineRule="auto"/>
              <w:ind w:left="285" w:right="117" w:hanging="285"/>
              <w:jc w:val="left"/>
            </w:pPr>
            <w:r>
              <w:rPr>
                <w:sz w:val="18"/>
              </w:rPr>
              <w:t>Non-survivors n=112</w:t>
            </w:r>
          </w:p>
        </w:tc>
        <w:tc>
          <w:tcPr>
            <w:tcW w:w="1031" w:type="dxa"/>
            <w:tcBorders>
              <w:top w:val="single" w:sz="2" w:space="0" w:color="000000"/>
              <w:left w:val="nil"/>
              <w:bottom w:val="single" w:sz="2" w:space="0" w:color="000000"/>
              <w:right w:val="nil"/>
            </w:tcBorders>
            <w:vAlign w:val="center"/>
          </w:tcPr>
          <w:p w:rsidR="009220C5" w:rsidRDefault="00AF6027">
            <w:pPr>
              <w:spacing w:after="0" w:line="259" w:lineRule="auto"/>
              <w:ind w:right="0" w:firstLine="0"/>
              <w:jc w:val="left"/>
            </w:pPr>
            <w:r>
              <w:rPr>
                <w:b/>
                <w:sz w:val="18"/>
              </w:rPr>
              <w:t>p-value</w:t>
            </w:r>
          </w:p>
        </w:tc>
      </w:tr>
      <w:tr w:rsidR="009220C5">
        <w:trPr>
          <w:trHeight w:val="263"/>
        </w:trPr>
        <w:tc>
          <w:tcPr>
            <w:tcW w:w="4216" w:type="dxa"/>
            <w:tcBorders>
              <w:top w:val="single" w:sz="2" w:space="0" w:color="000000"/>
              <w:left w:val="nil"/>
              <w:bottom w:val="nil"/>
              <w:right w:val="nil"/>
            </w:tcBorders>
          </w:tcPr>
          <w:p w:rsidR="009220C5" w:rsidRDefault="00AF6027">
            <w:pPr>
              <w:spacing w:after="0" w:line="259" w:lineRule="auto"/>
              <w:ind w:left="57" w:right="0" w:firstLine="0"/>
              <w:jc w:val="left"/>
            </w:pPr>
            <w:r>
              <w:rPr>
                <w:sz w:val="18"/>
              </w:rPr>
              <w:t>Female sex n (%)</w:t>
            </w:r>
          </w:p>
        </w:tc>
        <w:tc>
          <w:tcPr>
            <w:tcW w:w="1353" w:type="dxa"/>
            <w:tcBorders>
              <w:top w:val="single" w:sz="2" w:space="0" w:color="000000"/>
              <w:left w:val="nil"/>
              <w:bottom w:val="nil"/>
              <w:right w:val="nil"/>
            </w:tcBorders>
          </w:tcPr>
          <w:p w:rsidR="009220C5" w:rsidRDefault="00AF6027">
            <w:pPr>
              <w:spacing w:after="0" w:line="259" w:lineRule="auto"/>
              <w:ind w:right="0" w:firstLine="0"/>
              <w:jc w:val="left"/>
            </w:pPr>
            <w:r>
              <w:rPr>
                <w:sz w:val="18"/>
              </w:rPr>
              <w:t>139 (56.3)</w:t>
            </w:r>
          </w:p>
        </w:tc>
        <w:tc>
          <w:tcPr>
            <w:tcW w:w="1725" w:type="dxa"/>
            <w:tcBorders>
              <w:top w:val="single" w:sz="2" w:space="0" w:color="000000"/>
              <w:left w:val="nil"/>
              <w:bottom w:val="nil"/>
              <w:right w:val="nil"/>
            </w:tcBorders>
          </w:tcPr>
          <w:p w:rsidR="009220C5" w:rsidRDefault="00AF6027">
            <w:pPr>
              <w:spacing w:after="0" w:line="259" w:lineRule="auto"/>
              <w:ind w:left="186" w:right="0" w:firstLine="0"/>
              <w:jc w:val="left"/>
            </w:pPr>
            <w:r>
              <w:rPr>
                <w:sz w:val="18"/>
              </w:rPr>
              <w:t>61 (54.5)</w:t>
            </w:r>
          </w:p>
        </w:tc>
        <w:tc>
          <w:tcPr>
            <w:tcW w:w="1031" w:type="dxa"/>
            <w:tcBorders>
              <w:top w:val="single" w:sz="2" w:space="0" w:color="000000"/>
              <w:left w:val="nil"/>
              <w:bottom w:val="nil"/>
              <w:right w:val="nil"/>
            </w:tcBorders>
          </w:tcPr>
          <w:p w:rsidR="009220C5" w:rsidRDefault="00AF6027">
            <w:pPr>
              <w:spacing w:after="0" w:line="259" w:lineRule="auto"/>
              <w:ind w:left="82" w:right="0" w:firstLine="0"/>
              <w:jc w:val="left"/>
            </w:pPr>
            <w:r>
              <w:rPr>
                <w:sz w:val="18"/>
              </w:rPr>
              <w:t>0.749</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Age (mean±SD)</w:t>
            </w:r>
          </w:p>
        </w:tc>
        <w:tc>
          <w:tcPr>
            <w:tcW w:w="1353" w:type="dxa"/>
            <w:tcBorders>
              <w:top w:val="nil"/>
              <w:left w:val="nil"/>
              <w:bottom w:val="nil"/>
              <w:right w:val="nil"/>
            </w:tcBorders>
          </w:tcPr>
          <w:p w:rsidR="009220C5" w:rsidRDefault="00AF6027">
            <w:pPr>
              <w:spacing w:after="0" w:line="259" w:lineRule="auto"/>
              <w:ind w:left="144" w:right="0" w:firstLine="0"/>
              <w:jc w:val="left"/>
            </w:pPr>
            <w:r>
              <w:rPr>
                <w:sz w:val="18"/>
              </w:rPr>
              <w:t>77±13</w:t>
            </w:r>
          </w:p>
        </w:tc>
        <w:tc>
          <w:tcPr>
            <w:tcW w:w="1725" w:type="dxa"/>
            <w:tcBorders>
              <w:top w:val="nil"/>
              <w:left w:val="nil"/>
              <w:bottom w:val="nil"/>
              <w:right w:val="nil"/>
            </w:tcBorders>
          </w:tcPr>
          <w:p w:rsidR="009220C5" w:rsidRDefault="00AF6027">
            <w:pPr>
              <w:spacing w:after="0" w:line="259" w:lineRule="auto"/>
              <w:ind w:left="285" w:right="0" w:firstLine="0"/>
              <w:jc w:val="left"/>
            </w:pPr>
            <w:r>
              <w:rPr>
                <w:sz w:val="18"/>
              </w:rPr>
              <w:t>82±10</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Admitted from home n (%)</w:t>
            </w:r>
          </w:p>
        </w:tc>
        <w:tc>
          <w:tcPr>
            <w:tcW w:w="1353" w:type="dxa"/>
            <w:tcBorders>
              <w:top w:val="nil"/>
              <w:left w:val="nil"/>
              <w:bottom w:val="nil"/>
              <w:right w:val="nil"/>
            </w:tcBorders>
          </w:tcPr>
          <w:p w:rsidR="009220C5" w:rsidRDefault="00AF6027">
            <w:pPr>
              <w:spacing w:after="0" w:line="259" w:lineRule="auto"/>
              <w:ind w:right="0" w:firstLine="0"/>
              <w:jc w:val="left"/>
            </w:pPr>
            <w:r>
              <w:rPr>
                <w:sz w:val="18"/>
              </w:rPr>
              <w:t>212 (85.8)</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86 (76.8)</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0.035</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Admitted from nursing home n (%)</w:t>
            </w:r>
          </w:p>
        </w:tc>
        <w:tc>
          <w:tcPr>
            <w:tcW w:w="1353" w:type="dxa"/>
            <w:tcBorders>
              <w:top w:val="nil"/>
              <w:left w:val="nil"/>
              <w:bottom w:val="nil"/>
              <w:right w:val="nil"/>
            </w:tcBorders>
          </w:tcPr>
          <w:p w:rsidR="009220C5" w:rsidRDefault="00AF6027">
            <w:pPr>
              <w:spacing w:after="0" w:line="259" w:lineRule="auto"/>
              <w:ind w:left="90" w:right="0" w:firstLine="0"/>
              <w:jc w:val="left"/>
            </w:pPr>
            <w:r>
              <w:rPr>
                <w:sz w:val="18"/>
              </w:rPr>
              <w:t>23 (9.3)</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19 (17.0)</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0.037</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Hospital acquired sepsis n (%)</w:t>
            </w:r>
          </w:p>
        </w:tc>
        <w:tc>
          <w:tcPr>
            <w:tcW w:w="1353" w:type="dxa"/>
            <w:tcBorders>
              <w:top w:val="nil"/>
              <w:left w:val="nil"/>
              <w:bottom w:val="nil"/>
              <w:right w:val="nil"/>
            </w:tcBorders>
          </w:tcPr>
          <w:p w:rsidR="009220C5" w:rsidRDefault="00AF6027">
            <w:pPr>
              <w:spacing w:after="0" w:line="259" w:lineRule="auto"/>
              <w:ind w:left="90" w:right="0" w:firstLine="0"/>
              <w:jc w:val="left"/>
            </w:pPr>
            <w:r>
              <w:rPr>
                <w:sz w:val="18"/>
              </w:rPr>
              <w:t>15 (6.1)</w:t>
            </w:r>
          </w:p>
        </w:tc>
        <w:tc>
          <w:tcPr>
            <w:tcW w:w="1725" w:type="dxa"/>
            <w:tcBorders>
              <w:top w:val="nil"/>
              <w:left w:val="nil"/>
              <w:bottom w:val="nil"/>
              <w:right w:val="nil"/>
            </w:tcBorders>
          </w:tcPr>
          <w:p w:rsidR="009220C5" w:rsidRDefault="00AF6027">
            <w:pPr>
              <w:spacing w:after="0" w:line="259" w:lineRule="auto"/>
              <w:ind w:left="231" w:right="0" w:firstLine="0"/>
              <w:jc w:val="left"/>
            </w:pPr>
            <w:r>
              <w:rPr>
                <w:sz w:val="18"/>
              </w:rPr>
              <w:t>10 (8.9)</w:t>
            </w:r>
          </w:p>
        </w:tc>
        <w:tc>
          <w:tcPr>
            <w:tcW w:w="1031" w:type="dxa"/>
            <w:tcBorders>
              <w:top w:val="nil"/>
              <w:left w:val="nil"/>
              <w:bottom w:val="nil"/>
              <w:right w:val="nil"/>
            </w:tcBorders>
          </w:tcPr>
          <w:p w:rsidR="009220C5" w:rsidRDefault="00AF6027">
            <w:pPr>
              <w:spacing w:after="0" w:line="259" w:lineRule="auto"/>
              <w:ind w:left="59" w:right="0" w:firstLine="0"/>
              <w:jc w:val="left"/>
            </w:pPr>
            <w:r>
              <w:rPr>
                <w:sz w:val="18"/>
              </w:rPr>
              <w:t xml:space="preserve"> 0.325</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Diabetes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91 (36.8)</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41 (36.6)</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0.966</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Coronary Artery Disease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42 (17.0)</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26 (23.2)</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0.164</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Heart Failure n (%)</w:t>
            </w:r>
          </w:p>
        </w:tc>
        <w:tc>
          <w:tcPr>
            <w:tcW w:w="1353" w:type="dxa"/>
            <w:tcBorders>
              <w:top w:val="nil"/>
              <w:left w:val="nil"/>
              <w:bottom w:val="nil"/>
              <w:right w:val="nil"/>
            </w:tcBorders>
          </w:tcPr>
          <w:p w:rsidR="009220C5" w:rsidRDefault="00AF6027">
            <w:pPr>
              <w:spacing w:after="0" w:line="259" w:lineRule="auto"/>
              <w:ind w:right="0" w:firstLine="0"/>
              <w:jc w:val="left"/>
            </w:pPr>
            <w:r>
              <w:rPr>
                <w:sz w:val="18"/>
              </w:rPr>
              <w:t>105 (42.5)</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56 (50.0)</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0.186</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 xml:space="preserve">COPD n (%)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71 (28.7)</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35 (31.3)</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0.630</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Cancer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41 (16.6)</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16 (14.3)</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0.578</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Dementia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71 (28.7)</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56 (50.0)</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Creatinine mg/dL (mean±SD)</w:t>
            </w:r>
          </w:p>
        </w:tc>
        <w:tc>
          <w:tcPr>
            <w:tcW w:w="1353" w:type="dxa"/>
            <w:tcBorders>
              <w:top w:val="nil"/>
              <w:left w:val="nil"/>
              <w:bottom w:val="nil"/>
              <w:right w:val="nil"/>
            </w:tcBorders>
          </w:tcPr>
          <w:p w:rsidR="009220C5" w:rsidRDefault="00AF6027">
            <w:pPr>
              <w:spacing w:after="0" w:line="259" w:lineRule="auto"/>
              <w:ind w:left="99" w:right="0" w:firstLine="0"/>
              <w:jc w:val="left"/>
            </w:pPr>
            <w:r>
              <w:rPr>
                <w:sz w:val="18"/>
              </w:rPr>
              <w:t>1.6±1.1</w:t>
            </w:r>
          </w:p>
        </w:tc>
        <w:tc>
          <w:tcPr>
            <w:tcW w:w="1725" w:type="dxa"/>
            <w:tcBorders>
              <w:top w:val="nil"/>
              <w:left w:val="nil"/>
              <w:bottom w:val="nil"/>
              <w:right w:val="nil"/>
            </w:tcBorders>
          </w:tcPr>
          <w:p w:rsidR="009220C5" w:rsidRDefault="00AF6027">
            <w:pPr>
              <w:spacing w:after="0" w:line="259" w:lineRule="auto"/>
              <w:ind w:left="240" w:right="0" w:firstLine="0"/>
              <w:jc w:val="left"/>
            </w:pPr>
            <w:r>
              <w:rPr>
                <w:sz w:val="18"/>
              </w:rPr>
              <w:t>2.0±1.3</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0.003</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eGFR mL/min/1.73 m2 (mean ±SD)</w:t>
            </w:r>
          </w:p>
        </w:tc>
        <w:tc>
          <w:tcPr>
            <w:tcW w:w="1353" w:type="dxa"/>
            <w:tcBorders>
              <w:top w:val="nil"/>
              <w:left w:val="nil"/>
              <w:bottom w:val="nil"/>
              <w:right w:val="nil"/>
            </w:tcBorders>
          </w:tcPr>
          <w:p w:rsidR="009220C5" w:rsidRDefault="00AF6027">
            <w:pPr>
              <w:spacing w:after="0" w:line="259" w:lineRule="auto"/>
              <w:ind w:left="144" w:right="0" w:firstLine="0"/>
              <w:jc w:val="left"/>
            </w:pPr>
            <w:r>
              <w:rPr>
                <w:sz w:val="18"/>
              </w:rPr>
              <w:t>50±32</w:t>
            </w:r>
          </w:p>
        </w:tc>
        <w:tc>
          <w:tcPr>
            <w:tcW w:w="1725" w:type="dxa"/>
            <w:tcBorders>
              <w:top w:val="nil"/>
              <w:left w:val="nil"/>
              <w:bottom w:val="nil"/>
              <w:right w:val="nil"/>
            </w:tcBorders>
          </w:tcPr>
          <w:p w:rsidR="009220C5" w:rsidRDefault="00AF6027">
            <w:pPr>
              <w:spacing w:after="0" w:line="259" w:lineRule="auto"/>
              <w:ind w:left="285" w:right="0" w:firstLine="0"/>
              <w:jc w:val="left"/>
            </w:pPr>
            <w:r>
              <w:rPr>
                <w:sz w:val="18"/>
              </w:rPr>
              <w:t>40±30</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0.005</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 xml:space="preserve"> Glasgow Coma scale (mean±SD)</w:t>
            </w:r>
          </w:p>
        </w:tc>
        <w:tc>
          <w:tcPr>
            <w:tcW w:w="1353" w:type="dxa"/>
            <w:tcBorders>
              <w:top w:val="nil"/>
              <w:left w:val="nil"/>
              <w:bottom w:val="nil"/>
              <w:right w:val="nil"/>
            </w:tcBorders>
          </w:tcPr>
          <w:p w:rsidR="009220C5" w:rsidRDefault="00AF6027">
            <w:pPr>
              <w:spacing w:after="0" w:line="259" w:lineRule="auto"/>
              <w:ind w:left="54" w:right="0" w:firstLine="0"/>
              <w:jc w:val="left"/>
            </w:pPr>
            <w:r>
              <w:rPr>
                <w:sz w:val="18"/>
              </w:rPr>
              <w:t>12.7±3.3</w:t>
            </w:r>
          </w:p>
        </w:tc>
        <w:tc>
          <w:tcPr>
            <w:tcW w:w="1725" w:type="dxa"/>
            <w:tcBorders>
              <w:top w:val="nil"/>
              <w:left w:val="nil"/>
              <w:bottom w:val="nil"/>
              <w:right w:val="nil"/>
            </w:tcBorders>
          </w:tcPr>
          <w:p w:rsidR="009220C5" w:rsidRDefault="00AF6027">
            <w:pPr>
              <w:spacing w:after="0" w:line="259" w:lineRule="auto"/>
              <w:ind w:left="240" w:right="0" w:firstLine="0"/>
              <w:jc w:val="left"/>
            </w:pPr>
            <w:r>
              <w:rPr>
                <w:sz w:val="18"/>
              </w:rPr>
              <w:t>9.2±3.9</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SOFA score (mean±SD)</w:t>
            </w:r>
          </w:p>
        </w:tc>
        <w:tc>
          <w:tcPr>
            <w:tcW w:w="1353" w:type="dxa"/>
            <w:tcBorders>
              <w:top w:val="nil"/>
              <w:left w:val="nil"/>
              <w:bottom w:val="nil"/>
              <w:right w:val="nil"/>
            </w:tcBorders>
          </w:tcPr>
          <w:p w:rsidR="009220C5" w:rsidRDefault="00AF6027">
            <w:pPr>
              <w:spacing w:after="0" w:line="259" w:lineRule="auto"/>
              <w:ind w:left="99" w:right="0" w:firstLine="0"/>
              <w:jc w:val="left"/>
            </w:pPr>
            <w:r>
              <w:rPr>
                <w:sz w:val="18"/>
              </w:rPr>
              <w:t>5.3±2.5</w:t>
            </w:r>
          </w:p>
        </w:tc>
        <w:tc>
          <w:tcPr>
            <w:tcW w:w="1725" w:type="dxa"/>
            <w:tcBorders>
              <w:top w:val="nil"/>
              <w:left w:val="nil"/>
              <w:bottom w:val="nil"/>
              <w:right w:val="nil"/>
            </w:tcBorders>
          </w:tcPr>
          <w:p w:rsidR="009220C5" w:rsidRDefault="00AF6027">
            <w:pPr>
              <w:spacing w:after="0" w:line="259" w:lineRule="auto"/>
              <w:ind w:left="240" w:right="0" w:firstLine="0"/>
              <w:jc w:val="left"/>
            </w:pPr>
            <w:r>
              <w:rPr>
                <w:sz w:val="18"/>
              </w:rPr>
              <w:t>8.3±2.8</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Sepsis Shock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32 (13.0)</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33 (29.5)</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Previous use of antibiotics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71 (28.7)</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47 (42.0)</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0.013</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Length of stay in days (mean±SD)</w:t>
            </w:r>
          </w:p>
        </w:tc>
        <w:tc>
          <w:tcPr>
            <w:tcW w:w="1353" w:type="dxa"/>
            <w:tcBorders>
              <w:top w:val="nil"/>
              <w:left w:val="nil"/>
              <w:bottom w:val="nil"/>
              <w:right w:val="nil"/>
            </w:tcBorders>
          </w:tcPr>
          <w:p w:rsidR="009220C5" w:rsidRDefault="00AF6027">
            <w:pPr>
              <w:spacing w:after="0" w:line="259" w:lineRule="auto"/>
              <w:ind w:left="189" w:right="0" w:firstLine="0"/>
              <w:jc w:val="left"/>
            </w:pPr>
            <w:r>
              <w:rPr>
                <w:sz w:val="18"/>
              </w:rPr>
              <w:t>15±9</w:t>
            </w:r>
          </w:p>
        </w:tc>
        <w:tc>
          <w:tcPr>
            <w:tcW w:w="1725" w:type="dxa"/>
            <w:tcBorders>
              <w:top w:val="nil"/>
              <w:left w:val="nil"/>
              <w:bottom w:val="nil"/>
              <w:right w:val="nil"/>
            </w:tcBorders>
          </w:tcPr>
          <w:p w:rsidR="009220C5" w:rsidRDefault="00AF6027">
            <w:pPr>
              <w:spacing w:after="0" w:line="259" w:lineRule="auto"/>
              <w:ind w:left="285" w:right="0" w:firstLine="0"/>
              <w:jc w:val="left"/>
            </w:pPr>
            <w:r>
              <w:rPr>
                <w:sz w:val="18"/>
              </w:rPr>
              <w:t>11±11</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Length of stay &lt; 5 days n patients (%)</w:t>
            </w:r>
          </w:p>
        </w:tc>
        <w:tc>
          <w:tcPr>
            <w:tcW w:w="1353" w:type="dxa"/>
            <w:tcBorders>
              <w:top w:val="nil"/>
              <w:left w:val="nil"/>
              <w:bottom w:val="nil"/>
              <w:right w:val="nil"/>
            </w:tcBorders>
          </w:tcPr>
          <w:p w:rsidR="009220C5" w:rsidRDefault="00AF6027">
            <w:pPr>
              <w:spacing w:after="0" w:line="259" w:lineRule="auto"/>
              <w:ind w:left="135" w:right="0" w:firstLine="0"/>
              <w:jc w:val="left"/>
            </w:pPr>
            <w:r>
              <w:rPr>
                <w:sz w:val="18"/>
              </w:rPr>
              <w:t>6 (2.4)</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37 (33.0)</w:t>
            </w:r>
          </w:p>
        </w:tc>
        <w:tc>
          <w:tcPr>
            <w:tcW w:w="1031" w:type="dxa"/>
            <w:tcBorders>
              <w:top w:val="nil"/>
              <w:left w:val="nil"/>
              <w:bottom w:val="nil"/>
              <w:right w:val="nil"/>
            </w:tcBorders>
          </w:tcPr>
          <w:p w:rsidR="009220C5" w:rsidRDefault="00AF6027">
            <w:pPr>
              <w:spacing w:after="0" w:line="259" w:lineRule="auto"/>
              <w:ind w:left="31" w:right="0" w:firstLine="0"/>
              <w:jc w:val="left"/>
            </w:pPr>
            <w:r>
              <w:rPr>
                <w:sz w:val="18"/>
              </w:rPr>
              <w:t>&lt;0.001</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Blood culture positive n (%)</w:t>
            </w:r>
          </w:p>
        </w:tc>
        <w:tc>
          <w:tcPr>
            <w:tcW w:w="1353" w:type="dxa"/>
            <w:tcBorders>
              <w:top w:val="nil"/>
              <w:left w:val="nil"/>
              <w:bottom w:val="nil"/>
              <w:right w:val="nil"/>
            </w:tcBorders>
          </w:tcPr>
          <w:p w:rsidR="009220C5" w:rsidRDefault="00AF6027">
            <w:pPr>
              <w:spacing w:after="0" w:line="259" w:lineRule="auto"/>
              <w:ind w:right="0" w:firstLine="0"/>
              <w:jc w:val="left"/>
            </w:pPr>
            <w:r>
              <w:rPr>
                <w:sz w:val="18"/>
              </w:rPr>
              <w:t>116 (47.0)</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43 (38.4)</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0.130</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Blood culture negative  n (%)</w:t>
            </w:r>
          </w:p>
        </w:tc>
        <w:tc>
          <w:tcPr>
            <w:tcW w:w="1353" w:type="dxa"/>
            <w:tcBorders>
              <w:top w:val="nil"/>
              <w:left w:val="nil"/>
              <w:bottom w:val="nil"/>
              <w:right w:val="nil"/>
            </w:tcBorders>
          </w:tcPr>
          <w:p w:rsidR="009220C5" w:rsidRDefault="00AF6027">
            <w:pPr>
              <w:spacing w:after="0" w:line="259" w:lineRule="auto"/>
              <w:ind w:left="68" w:right="0" w:firstLine="0"/>
              <w:jc w:val="left"/>
            </w:pPr>
            <w:r>
              <w:rPr>
                <w:sz w:val="18"/>
              </w:rPr>
              <w:t>131 (53)</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69 (61.6)</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0.130</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i/>
                <w:sz w:val="18"/>
              </w:rPr>
              <w:t>Staphylococcus</w:t>
            </w:r>
            <w:r>
              <w:rPr>
                <w:sz w:val="18"/>
              </w:rPr>
              <w:t xml:space="preserve"> spp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48 (19.4)</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15 (13.4)</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0.163</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i/>
                <w:sz w:val="18"/>
              </w:rPr>
              <w:t>E. coli</w:t>
            </w:r>
            <w:r>
              <w:rPr>
                <w:sz w:val="18"/>
              </w:rPr>
              <w:t xml:space="preserve">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32 (13.0)</w:t>
            </w:r>
          </w:p>
        </w:tc>
        <w:tc>
          <w:tcPr>
            <w:tcW w:w="1725" w:type="dxa"/>
            <w:tcBorders>
              <w:top w:val="nil"/>
              <w:left w:val="nil"/>
              <w:bottom w:val="nil"/>
              <w:right w:val="nil"/>
            </w:tcBorders>
          </w:tcPr>
          <w:p w:rsidR="009220C5" w:rsidRDefault="00AF6027">
            <w:pPr>
              <w:spacing w:after="0" w:line="259" w:lineRule="auto"/>
              <w:ind w:left="276" w:right="0" w:firstLine="0"/>
              <w:jc w:val="left"/>
            </w:pPr>
            <w:r>
              <w:rPr>
                <w:sz w:val="18"/>
              </w:rPr>
              <w:t>6 (5.4)</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0.030</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i/>
                <w:sz w:val="18"/>
              </w:rPr>
              <w:t>Klebsiella</w:t>
            </w:r>
            <w:r>
              <w:rPr>
                <w:sz w:val="18"/>
              </w:rPr>
              <w:t xml:space="preserve"> spp n (%)</w:t>
            </w:r>
          </w:p>
        </w:tc>
        <w:tc>
          <w:tcPr>
            <w:tcW w:w="1353" w:type="dxa"/>
            <w:tcBorders>
              <w:top w:val="nil"/>
              <w:left w:val="nil"/>
              <w:bottom w:val="nil"/>
              <w:right w:val="nil"/>
            </w:tcBorders>
          </w:tcPr>
          <w:p w:rsidR="009220C5" w:rsidRDefault="00AF6027">
            <w:pPr>
              <w:spacing w:after="0" w:line="259" w:lineRule="auto"/>
              <w:ind w:left="135" w:right="0" w:firstLine="0"/>
              <w:jc w:val="left"/>
            </w:pPr>
            <w:r>
              <w:rPr>
                <w:sz w:val="18"/>
              </w:rPr>
              <w:t>8 (3.2)</w:t>
            </w:r>
          </w:p>
        </w:tc>
        <w:tc>
          <w:tcPr>
            <w:tcW w:w="1725" w:type="dxa"/>
            <w:tcBorders>
              <w:top w:val="nil"/>
              <w:left w:val="nil"/>
              <w:bottom w:val="nil"/>
              <w:right w:val="nil"/>
            </w:tcBorders>
          </w:tcPr>
          <w:p w:rsidR="009220C5" w:rsidRDefault="00AF6027">
            <w:pPr>
              <w:spacing w:after="0" w:line="259" w:lineRule="auto"/>
              <w:ind w:left="276" w:right="0" w:firstLine="0"/>
              <w:jc w:val="left"/>
            </w:pPr>
            <w:r>
              <w:rPr>
                <w:sz w:val="18"/>
              </w:rPr>
              <w:t>4 (3.6)</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0.999</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i/>
                <w:sz w:val="18"/>
              </w:rPr>
              <w:t>Enterococcus</w:t>
            </w:r>
            <w:r>
              <w:rPr>
                <w:sz w:val="18"/>
              </w:rPr>
              <w:t xml:space="preserve"> spp n (%)</w:t>
            </w:r>
          </w:p>
        </w:tc>
        <w:tc>
          <w:tcPr>
            <w:tcW w:w="1353" w:type="dxa"/>
            <w:tcBorders>
              <w:top w:val="nil"/>
              <w:left w:val="nil"/>
              <w:bottom w:val="nil"/>
              <w:right w:val="nil"/>
            </w:tcBorders>
          </w:tcPr>
          <w:p w:rsidR="009220C5" w:rsidRDefault="00AF6027">
            <w:pPr>
              <w:spacing w:after="0" w:line="259" w:lineRule="auto"/>
              <w:ind w:left="90" w:right="0" w:firstLine="0"/>
              <w:jc w:val="left"/>
            </w:pPr>
            <w:r>
              <w:rPr>
                <w:sz w:val="18"/>
              </w:rPr>
              <w:t>11 (4.5)</w:t>
            </w:r>
          </w:p>
        </w:tc>
        <w:tc>
          <w:tcPr>
            <w:tcW w:w="1725" w:type="dxa"/>
            <w:tcBorders>
              <w:top w:val="nil"/>
              <w:left w:val="nil"/>
              <w:bottom w:val="nil"/>
              <w:right w:val="nil"/>
            </w:tcBorders>
          </w:tcPr>
          <w:p w:rsidR="009220C5" w:rsidRDefault="00AF6027">
            <w:pPr>
              <w:spacing w:after="0" w:line="259" w:lineRule="auto"/>
              <w:ind w:left="276" w:right="0" w:firstLine="0"/>
              <w:jc w:val="left"/>
            </w:pPr>
            <w:r>
              <w:rPr>
                <w:sz w:val="18"/>
              </w:rPr>
              <w:t>2 (1.8)</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0.360</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i/>
                <w:sz w:val="18"/>
              </w:rPr>
              <w:t>Acinetobacter</w:t>
            </w:r>
            <w:r>
              <w:rPr>
                <w:sz w:val="18"/>
              </w:rPr>
              <w:t xml:space="preserve"> spp n (%)</w:t>
            </w:r>
          </w:p>
        </w:tc>
        <w:tc>
          <w:tcPr>
            <w:tcW w:w="1353" w:type="dxa"/>
            <w:tcBorders>
              <w:top w:val="nil"/>
              <w:left w:val="nil"/>
              <w:bottom w:val="nil"/>
              <w:right w:val="nil"/>
            </w:tcBorders>
          </w:tcPr>
          <w:p w:rsidR="009220C5" w:rsidRDefault="00AF6027">
            <w:pPr>
              <w:spacing w:after="0" w:line="259" w:lineRule="auto"/>
              <w:ind w:left="90" w:right="0" w:firstLine="0"/>
              <w:jc w:val="left"/>
            </w:pPr>
            <w:r>
              <w:rPr>
                <w:sz w:val="18"/>
              </w:rPr>
              <w:t>3 (1.21)</w:t>
            </w:r>
          </w:p>
        </w:tc>
        <w:tc>
          <w:tcPr>
            <w:tcW w:w="1725" w:type="dxa"/>
            <w:tcBorders>
              <w:top w:val="nil"/>
              <w:left w:val="nil"/>
              <w:bottom w:val="nil"/>
              <w:right w:val="nil"/>
            </w:tcBorders>
          </w:tcPr>
          <w:p w:rsidR="009220C5" w:rsidRDefault="00AF6027">
            <w:pPr>
              <w:spacing w:after="0" w:line="259" w:lineRule="auto"/>
              <w:ind w:left="276" w:right="0" w:firstLine="0"/>
              <w:jc w:val="left"/>
            </w:pPr>
            <w:r>
              <w:rPr>
                <w:sz w:val="18"/>
              </w:rPr>
              <w:t>9 (8.0)</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0.002</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Multidrug resistance* n (%)</w:t>
            </w:r>
          </w:p>
        </w:tc>
        <w:tc>
          <w:tcPr>
            <w:tcW w:w="1353" w:type="dxa"/>
            <w:tcBorders>
              <w:top w:val="nil"/>
              <w:left w:val="nil"/>
              <w:bottom w:val="nil"/>
              <w:right w:val="nil"/>
            </w:tcBorders>
          </w:tcPr>
          <w:p w:rsidR="009220C5" w:rsidRDefault="00AF6027">
            <w:pPr>
              <w:spacing w:after="0" w:line="259" w:lineRule="auto"/>
              <w:ind w:left="113" w:right="0" w:firstLine="0"/>
              <w:jc w:val="left"/>
            </w:pPr>
            <w:r>
              <w:rPr>
                <w:sz w:val="18"/>
              </w:rPr>
              <w:t>32 (13)</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12 (10.7)</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0.549</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Respiratory infections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78 (31.6)</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30 (26.8)</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0.359</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Urinary infections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56 (22.7)</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21 (18.8)</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0.402</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Primary bacteriemia n (%)</w:t>
            </w:r>
          </w:p>
        </w:tc>
        <w:tc>
          <w:tcPr>
            <w:tcW w:w="1353" w:type="dxa"/>
            <w:tcBorders>
              <w:top w:val="nil"/>
              <w:left w:val="nil"/>
              <w:bottom w:val="nil"/>
              <w:right w:val="nil"/>
            </w:tcBorders>
          </w:tcPr>
          <w:p w:rsidR="009220C5" w:rsidRDefault="00AF6027">
            <w:pPr>
              <w:spacing w:after="0" w:line="259" w:lineRule="auto"/>
              <w:ind w:left="45" w:right="0" w:firstLine="0"/>
              <w:jc w:val="left"/>
            </w:pPr>
            <w:r>
              <w:rPr>
                <w:sz w:val="18"/>
              </w:rPr>
              <w:t>73 (29.6)</w:t>
            </w:r>
          </w:p>
        </w:tc>
        <w:tc>
          <w:tcPr>
            <w:tcW w:w="1725" w:type="dxa"/>
            <w:tcBorders>
              <w:top w:val="nil"/>
              <w:left w:val="nil"/>
              <w:bottom w:val="nil"/>
              <w:right w:val="nil"/>
            </w:tcBorders>
          </w:tcPr>
          <w:p w:rsidR="009220C5" w:rsidRDefault="00AF6027">
            <w:pPr>
              <w:spacing w:after="0" w:line="259" w:lineRule="auto"/>
              <w:ind w:left="186" w:right="0" w:firstLine="0"/>
              <w:jc w:val="left"/>
            </w:pPr>
            <w:r>
              <w:rPr>
                <w:sz w:val="18"/>
              </w:rPr>
              <w:t>34 (30.4)</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0.878</w:t>
            </w:r>
          </w:p>
        </w:tc>
      </w:tr>
      <w:tr w:rsidR="009220C5">
        <w:trPr>
          <w:trHeight w:val="254"/>
        </w:trPr>
        <w:tc>
          <w:tcPr>
            <w:tcW w:w="4216" w:type="dxa"/>
            <w:tcBorders>
              <w:top w:val="nil"/>
              <w:left w:val="nil"/>
              <w:bottom w:val="nil"/>
              <w:right w:val="nil"/>
            </w:tcBorders>
          </w:tcPr>
          <w:p w:rsidR="009220C5" w:rsidRDefault="00AF6027">
            <w:pPr>
              <w:spacing w:after="0" w:line="259" w:lineRule="auto"/>
              <w:ind w:left="57" w:right="0" w:firstLine="0"/>
              <w:jc w:val="left"/>
            </w:pPr>
            <w:r>
              <w:rPr>
                <w:sz w:val="18"/>
              </w:rPr>
              <w:t>Skin and soft tissue n (%)</w:t>
            </w:r>
          </w:p>
        </w:tc>
        <w:tc>
          <w:tcPr>
            <w:tcW w:w="1353" w:type="dxa"/>
            <w:tcBorders>
              <w:top w:val="nil"/>
              <w:left w:val="nil"/>
              <w:bottom w:val="nil"/>
              <w:right w:val="nil"/>
            </w:tcBorders>
          </w:tcPr>
          <w:p w:rsidR="009220C5" w:rsidRDefault="00AF6027">
            <w:pPr>
              <w:spacing w:after="0" w:line="259" w:lineRule="auto"/>
              <w:ind w:left="90" w:right="0" w:firstLine="0"/>
              <w:jc w:val="left"/>
            </w:pPr>
            <w:r>
              <w:rPr>
                <w:sz w:val="18"/>
              </w:rPr>
              <w:t>13 (5.3)</w:t>
            </w:r>
          </w:p>
        </w:tc>
        <w:tc>
          <w:tcPr>
            <w:tcW w:w="1725" w:type="dxa"/>
            <w:tcBorders>
              <w:top w:val="nil"/>
              <w:left w:val="nil"/>
              <w:bottom w:val="nil"/>
              <w:right w:val="nil"/>
            </w:tcBorders>
          </w:tcPr>
          <w:p w:rsidR="009220C5" w:rsidRDefault="00AF6027">
            <w:pPr>
              <w:spacing w:after="0" w:line="259" w:lineRule="auto"/>
              <w:ind w:left="276" w:right="0" w:firstLine="0"/>
              <w:jc w:val="left"/>
            </w:pPr>
            <w:r>
              <w:rPr>
                <w:sz w:val="18"/>
              </w:rPr>
              <w:t>4 (3.6)</w:t>
            </w:r>
          </w:p>
        </w:tc>
        <w:tc>
          <w:tcPr>
            <w:tcW w:w="1031" w:type="dxa"/>
            <w:tcBorders>
              <w:top w:val="nil"/>
              <w:left w:val="nil"/>
              <w:bottom w:val="nil"/>
              <w:right w:val="nil"/>
            </w:tcBorders>
          </w:tcPr>
          <w:p w:rsidR="009220C5" w:rsidRDefault="00AF6027">
            <w:pPr>
              <w:spacing w:after="0" w:line="259" w:lineRule="auto"/>
              <w:ind w:left="82" w:right="0" w:firstLine="0"/>
              <w:jc w:val="left"/>
            </w:pPr>
            <w:r>
              <w:rPr>
                <w:sz w:val="18"/>
              </w:rPr>
              <w:t>0.484</w:t>
            </w:r>
          </w:p>
        </w:tc>
      </w:tr>
      <w:tr w:rsidR="009220C5">
        <w:trPr>
          <w:trHeight w:val="245"/>
        </w:trPr>
        <w:tc>
          <w:tcPr>
            <w:tcW w:w="4216" w:type="dxa"/>
            <w:tcBorders>
              <w:top w:val="nil"/>
              <w:left w:val="nil"/>
              <w:bottom w:val="single" w:sz="2" w:space="0" w:color="000000"/>
              <w:right w:val="nil"/>
            </w:tcBorders>
          </w:tcPr>
          <w:p w:rsidR="009220C5" w:rsidRDefault="00AF6027">
            <w:pPr>
              <w:spacing w:after="0" w:line="259" w:lineRule="auto"/>
              <w:ind w:left="57" w:right="0" w:firstLine="0"/>
              <w:jc w:val="left"/>
            </w:pPr>
            <w:r>
              <w:rPr>
                <w:sz w:val="18"/>
              </w:rPr>
              <w:t>Intra-abdominal infections n (%)</w:t>
            </w:r>
          </w:p>
        </w:tc>
        <w:tc>
          <w:tcPr>
            <w:tcW w:w="1353" w:type="dxa"/>
            <w:tcBorders>
              <w:top w:val="nil"/>
              <w:left w:val="nil"/>
              <w:bottom w:val="single" w:sz="2" w:space="0" w:color="000000"/>
              <w:right w:val="nil"/>
            </w:tcBorders>
          </w:tcPr>
          <w:p w:rsidR="009220C5" w:rsidRDefault="00AF6027">
            <w:pPr>
              <w:spacing w:after="0" w:line="259" w:lineRule="auto"/>
              <w:ind w:left="135" w:right="0" w:firstLine="0"/>
              <w:jc w:val="left"/>
            </w:pPr>
            <w:r>
              <w:rPr>
                <w:sz w:val="18"/>
              </w:rPr>
              <w:t>8 (3.2)</w:t>
            </w:r>
          </w:p>
        </w:tc>
        <w:tc>
          <w:tcPr>
            <w:tcW w:w="1725" w:type="dxa"/>
            <w:tcBorders>
              <w:top w:val="nil"/>
              <w:left w:val="nil"/>
              <w:bottom w:val="single" w:sz="2" w:space="0" w:color="000000"/>
              <w:right w:val="nil"/>
            </w:tcBorders>
          </w:tcPr>
          <w:p w:rsidR="009220C5" w:rsidRDefault="00AF6027">
            <w:pPr>
              <w:spacing w:after="0" w:line="259" w:lineRule="auto"/>
              <w:ind w:left="276" w:right="0" w:firstLine="0"/>
              <w:jc w:val="left"/>
            </w:pPr>
            <w:r>
              <w:rPr>
                <w:sz w:val="18"/>
              </w:rPr>
              <w:t>6 (5.4)</w:t>
            </w:r>
          </w:p>
        </w:tc>
        <w:tc>
          <w:tcPr>
            <w:tcW w:w="1031" w:type="dxa"/>
            <w:tcBorders>
              <w:top w:val="nil"/>
              <w:left w:val="nil"/>
              <w:bottom w:val="single" w:sz="2" w:space="0" w:color="000000"/>
              <w:right w:val="nil"/>
            </w:tcBorders>
          </w:tcPr>
          <w:p w:rsidR="009220C5" w:rsidRDefault="00AF6027">
            <w:pPr>
              <w:spacing w:after="0" w:line="259" w:lineRule="auto"/>
              <w:ind w:left="82" w:right="0" w:firstLine="0"/>
              <w:jc w:val="left"/>
            </w:pPr>
            <w:r>
              <w:rPr>
                <w:sz w:val="18"/>
              </w:rPr>
              <w:t>0.381</w:t>
            </w:r>
          </w:p>
        </w:tc>
      </w:tr>
    </w:tbl>
    <w:p w:rsidR="009220C5" w:rsidRDefault="00AF6027">
      <w:pPr>
        <w:spacing w:after="0" w:line="260" w:lineRule="auto"/>
        <w:ind w:left="12" w:right="0" w:hanging="10"/>
      </w:pPr>
      <w:r>
        <w:rPr>
          <w:sz w:val="18"/>
        </w:rPr>
        <w:t>* all cultures from MDR bacteria were considered</w:t>
      </w:r>
    </w:p>
    <w:p w:rsidR="009220C5" w:rsidRDefault="00AF6027">
      <w:pPr>
        <w:spacing w:after="0" w:line="260" w:lineRule="auto"/>
        <w:ind w:left="12" w:right="0" w:hanging="10"/>
      </w:pPr>
      <w:r>
        <w:rPr>
          <w:sz w:val="18"/>
        </w:rPr>
        <w:t>Abbreviations: yrs=years; n=number; SD=standard deviation; COPD=chronic obstructive pulmonary disease.</w:t>
      </w:r>
    </w:p>
    <w:p w:rsidR="009220C5" w:rsidRDefault="00AF6027">
      <w:pPr>
        <w:spacing w:after="0" w:line="260" w:lineRule="auto"/>
        <w:ind w:left="167" w:right="0" w:hanging="10"/>
      </w:pPr>
      <w:r>
        <w:rPr>
          <w:sz w:val="18"/>
        </w:rPr>
        <w:t>Table 4 - Backward stepwise logistic regression for in-hospital fatality (p&gt;0.05 to remove including variables in Table 3).</w:t>
      </w:r>
    </w:p>
    <w:tbl>
      <w:tblPr>
        <w:tblStyle w:val="TableGrid"/>
        <w:tblW w:w="8323" w:type="dxa"/>
        <w:tblInd w:w="172" w:type="dxa"/>
        <w:tblCellMar>
          <w:top w:w="27" w:type="dxa"/>
          <w:left w:w="0" w:type="dxa"/>
          <w:bottom w:w="0" w:type="dxa"/>
          <w:right w:w="115" w:type="dxa"/>
        </w:tblCellMar>
        <w:tblLook w:val="04A0" w:firstRow="1" w:lastRow="0" w:firstColumn="1" w:lastColumn="0" w:noHBand="0" w:noVBand="1"/>
      </w:tblPr>
      <w:tblGrid>
        <w:gridCol w:w="4139"/>
        <w:gridCol w:w="2862"/>
        <w:gridCol w:w="1322"/>
      </w:tblGrid>
      <w:tr w:rsidR="009220C5">
        <w:trPr>
          <w:trHeight w:val="254"/>
        </w:trPr>
        <w:tc>
          <w:tcPr>
            <w:tcW w:w="4139" w:type="dxa"/>
            <w:tcBorders>
              <w:top w:val="single" w:sz="2" w:space="0" w:color="000000"/>
              <w:left w:val="nil"/>
              <w:bottom w:val="single" w:sz="2" w:space="0" w:color="000000"/>
              <w:right w:val="nil"/>
            </w:tcBorders>
          </w:tcPr>
          <w:p w:rsidR="009220C5" w:rsidRDefault="009220C5">
            <w:pPr>
              <w:spacing w:after="160" w:line="259" w:lineRule="auto"/>
              <w:ind w:right="0" w:firstLine="0"/>
              <w:jc w:val="left"/>
            </w:pPr>
          </w:p>
        </w:tc>
        <w:tc>
          <w:tcPr>
            <w:tcW w:w="2862" w:type="dxa"/>
            <w:tcBorders>
              <w:top w:val="single" w:sz="2" w:space="0" w:color="000000"/>
              <w:left w:val="nil"/>
              <w:bottom w:val="single" w:sz="2" w:space="0" w:color="000000"/>
              <w:right w:val="nil"/>
            </w:tcBorders>
          </w:tcPr>
          <w:p w:rsidR="009220C5" w:rsidRDefault="00AF6027">
            <w:pPr>
              <w:spacing w:after="0" w:line="259" w:lineRule="auto"/>
              <w:ind w:right="0" w:firstLine="0"/>
              <w:jc w:val="left"/>
            </w:pPr>
            <w:r>
              <w:rPr>
                <w:sz w:val="18"/>
              </w:rPr>
              <w:t>Odds Ratio (95%CI)</w:t>
            </w:r>
          </w:p>
        </w:tc>
        <w:tc>
          <w:tcPr>
            <w:tcW w:w="1322" w:type="dxa"/>
            <w:tcBorders>
              <w:top w:val="single" w:sz="2" w:space="0" w:color="000000"/>
              <w:left w:val="nil"/>
              <w:bottom w:val="single" w:sz="2" w:space="0" w:color="000000"/>
              <w:right w:val="nil"/>
            </w:tcBorders>
          </w:tcPr>
          <w:p w:rsidR="009220C5" w:rsidRDefault="00AF6027">
            <w:pPr>
              <w:spacing w:after="0" w:line="259" w:lineRule="auto"/>
              <w:ind w:right="0" w:firstLine="0"/>
              <w:jc w:val="left"/>
            </w:pPr>
            <w:r>
              <w:rPr>
                <w:b/>
                <w:sz w:val="18"/>
              </w:rPr>
              <w:t>p-value</w:t>
            </w:r>
          </w:p>
        </w:tc>
      </w:tr>
      <w:tr w:rsidR="009220C5">
        <w:trPr>
          <w:trHeight w:val="263"/>
        </w:trPr>
        <w:tc>
          <w:tcPr>
            <w:tcW w:w="4139" w:type="dxa"/>
            <w:tcBorders>
              <w:top w:val="single" w:sz="2" w:space="0" w:color="000000"/>
              <w:left w:val="nil"/>
              <w:bottom w:val="nil"/>
              <w:right w:val="nil"/>
            </w:tcBorders>
          </w:tcPr>
          <w:p w:rsidR="009220C5" w:rsidRDefault="00AF6027">
            <w:pPr>
              <w:spacing w:after="0" w:line="259" w:lineRule="auto"/>
              <w:ind w:left="59" w:right="0" w:firstLine="0"/>
              <w:jc w:val="left"/>
            </w:pPr>
            <w:r>
              <w:rPr>
                <w:sz w:val="18"/>
              </w:rPr>
              <w:t>Female</w:t>
            </w:r>
          </w:p>
        </w:tc>
        <w:tc>
          <w:tcPr>
            <w:tcW w:w="2862" w:type="dxa"/>
            <w:tcBorders>
              <w:top w:val="single" w:sz="2" w:space="0" w:color="000000"/>
              <w:left w:val="nil"/>
              <w:bottom w:val="nil"/>
              <w:right w:val="nil"/>
            </w:tcBorders>
          </w:tcPr>
          <w:p w:rsidR="009220C5" w:rsidRDefault="00AF6027">
            <w:pPr>
              <w:spacing w:after="0" w:line="259" w:lineRule="auto"/>
              <w:ind w:right="0" w:firstLine="0"/>
              <w:jc w:val="left"/>
            </w:pPr>
            <w:r>
              <w:rPr>
                <w:sz w:val="18"/>
              </w:rPr>
              <w:t>0.50 (0.28-0.90)</w:t>
            </w:r>
          </w:p>
        </w:tc>
        <w:tc>
          <w:tcPr>
            <w:tcW w:w="1322" w:type="dxa"/>
            <w:tcBorders>
              <w:top w:val="single" w:sz="2" w:space="0" w:color="000000"/>
              <w:left w:val="nil"/>
              <w:bottom w:val="nil"/>
              <w:right w:val="nil"/>
            </w:tcBorders>
          </w:tcPr>
          <w:p w:rsidR="009220C5" w:rsidRDefault="00AF6027">
            <w:pPr>
              <w:spacing w:after="0" w:line="259" w:lineRule="auto"/>
              <w:ind w:right="0" w:firstLine="0"/>
              <w:jc w:val="left"/>
            </w:pPr>
            <w:r>
              <w:rPr>
                <w:sz w:val="18"/>
              </w:rPr>
              <w:t>0.020</w:t>
            </w:r>
          </w:p>
        </w:tc>
      </w:tr>
      <w:tr w:rsidR="009220C5">
        <w:trPr>
          <w:trHeight w:val="254"/>
        </w:trPr>
        <w:tc>
          <w:tcPr>
            <w:tcW w:w="4139" w:type="dxa"/>
            <w:tcBorders>
              <w:top w:val="nil"/>
              <w:left w:val="nil"/>
              <w:bottom w:val="nil"/>
              <w:right w:val="nil"/>
            </w:tcBorders>
          </w:tcPr>
          <w:p w:rsidR="009220C5" w:rsidRDefault="00AF6027">
            <w:pPr>
              <w:spacing w:after="0" w:line="259" w:lineRule="auto"/>
              <w:ind w:left="59" w:right="0" w:firstLine="0"/>
              <w:jc w:val="left"/>
            </w:pPr>
            <w:r>
              <w:rPr>
                <w:sz w:val="18"/>
              </w:rPr>
              <w:t>Dementia</w:t>
            </w:r>
          </w:p>
        </w:tc>
        <w:tc>
          <w:tcPr>
            <w:tcW w:w="2862" w:type="dxa"/>
            <w:tcBorders>
              <w:top w:val="nil"/>
              <w:left w:val="nil"/>
              <w:bottom w:val="nil"/>
              <w:right w:val="nil"/>
            </w:tcBorders>
          </w:tcPr>
          <w:p w:rsidR="009220C5" w:rsidRDefault="00AF6027">
            <w:pPr>
              <w:spacing w:after="0" w:line="259" w:lineRule="auto"/>
              <w:ind w:right="0" w:firstLine="0"/>
              <w:jc w:val="left"/>
            </w:pPr>
            <w:r>
              <w:rPr>
                <w:sz w:val="18"/>
              </w:rPr>
              <w:t>2.01 (1.11-3.62)</w:t>
            </w:r>
          </w:p>
        </w:tc>
        <w:tc>
          <w:tcPr>
            <w:tcW w:w="1322" w:type="dxa"/>
            <w:tcBorders>
              <w:top w:val="nil"/>
              <w:left w:val="nil"/>
              <w:bottom w:val="nil"/>
              <w:right w:val="nil"/>
            </w:tcBorders>
          </w:tcPr>
          <w:p w:rsidR="009220C5" w:rsidRDefault="00AF6027">
            <w:pPr>
              <w:spacing w:after="0" w:line="259" w:lineRule="auto"/>
              <w:ind w:right="0" w:firstLine="0"/>
              <w:jc w:val="left"/>
            </w:pPr>
            <w:r>
              <w:rPr>
                <w:sz w:val="18"/>
              </w:rPr>
              <w:t>0.021</w:t>
            </w:r>
          </w:p>
        </w:tc>
      </w:tr>
      <w:tr w:rsidR="009220C5">
        <w:trPr>
          <w:trHeight w:val="254"/>
        </w:trPr>
        <w:tc>
          <w:tcPr>
            <w:tcW w:w="4139" w:type="dxa"/>
            <w:tcBorders>
              <w:top w:val="nil"/>
              <w:left w:val="nil"/>
              <w:bottom w:val="nil"/>
              <w:right w:val="nil"/>
            </w:tcBorders>
          </w:tcPr>
          <w:p w:rsidR="009220C5" w:rsidRDefault="00AF6027">
            <w:pPr>
              <w:spacing w:after="0" w:line="259" w:lineRule="auto"/>
              <w:ind w:left="59" w:right="0" w:firstLine="0"/>
              <w:jc w:val="left"/>
            </w:pPr>
            <w:r>
              <w:rPr>
                <w:sz w:val="18"/>
              </w:rPr>
              <w:t>Glasgow Coma Scale (per 1 point)</w:t>
            </w:r>
          </w:p>
        </w:tc>
        <w:tc>
          <w:tcPr>
            <w:tcW w:w="2862" w:type="dxa"/>
            <w:tcBorders>
              <w:top w:val="nil"/>
              <w:left w:val="nil"/>
              <w:bottom w:val="nil"/>
              <w:right w:val="nil"/>
            </w:tcBorders>
          </w:tcPr>
          <w:p w:rsidR="009220C5" w:rsidRDefault="00AF6027">
            <w:pPr>
              <w:spacing w:after="0" w:line="259" w:lineRule="auto"/>
              <w:ind w:right="0" w:firstLine="0"/>
              <w:jc w:val="left"/>
            </w:pPr>
            <w:r>
              <w:rPr>
                <w:sz w:val="18"/>
              </w:rPr>
              <w:t>0.89 (0.81-0.98)</w:t>
            </w:r>
          </w:p>
        </w:tc>
        <w:tc>
          <w:tcPr>
            <w:tcW w:w="1322" w:type="dxa"/>
            <w:tcBorders>
              <w:top w:val="nil"/>
              <w:left w:val="nil"/>
              <w:bottom w:val="nil"/>
              <w:right w:val="nil"/>
            </w:tcBorders>
          </w:tcPr>
          <w:p w:rsidR="009220C5" w:rsidRDefault="00AF6027">
            <w:pPr>
              <w:spacing w:after="0" w:line="259" w:lineRule="auto"/>
              <w:ind w:right="0" w:firstLine="0"/>
              <w:jc w:val="left"/>
            </w:pPr>
            <w:r>
              <w:rPr>
                <w:sz w:val="18"/>
              </w:rPr>
              <w:t>0.013</w:t>
            </w:r>
          </w:p>
        </w:tc>
      </w:tr>
      <w:tr w:rsidR="009220C5">
        <w:trPr>
          <w:trHeight w:val="254"/>
        </w:trPr>
        <w:tc>
          <w:tcPr>
            <w:tcW w:w="4139" w:type="dxa"/>
            <w:tcBorders>
              <w:top w:val="nil"/>
              <w:left w:val="nil"/>
              <w:bottom w:val="nil"/>
              <w:right w:val="nil"/>
            </w:tcBorders>
          </w:tcPr>
          <w:p w:rsidR="009220C5" w:rsidRDefault="00AF6027">
            <w:pPr>
              <w:spacing w:after="0" w:line="259" w:lineRule="auto"/>
              <w:ind w:left="59" w:right="0" w:firstLine="0"/>
              <w:jc w:val="left"/>
            </w:pPr>
            <w:r>
              <w:rPr>
                <w:sz w:val="18"/>
              </w:rPr>
              <w:t>SOFA score (per 1 point)</w:t>
            </w:r>
          </w:p>
        </w:tc>
        <w:tc>
          <w:tcPr>
            <w:tcW w:w="2862" w:type="dxa"/>
            <w:tcBorders>
              <w:top w:val="nil"/>
              <w:left w:val="nil"/>
              <w:bottom w:val="nil"/>
              <w:right w:val="nil"/>
            </w:tcBorders>
          </w:tcPr>
          <w:p w:rsidR="009220C5" w:rsidRDefault="00AF6027">
            <w:pPr>
              <w:spacing w:after="0" w:line="259" w:lineRule="auto"/>
              <w:ind w:right="0" w:firstLine="0"/>
              <w:jc w:val="left"/>
            </w:pPr>
            <w:r>
              <w:rPr>
                <w:sz w:val="18"/>
              </w:rPr>
              <w:t>1.42 (1.25-1.61)</w:t>
            </w:r>
          </w:p>
        </w:tc>
        <w:tc>
          <w:tcPr>
            <w:tcW w:w="1322" w:type="dxa"/>
            <w:tcBorders>
              <w:top w:val="nil"/>
              <w:left w:val="nil"/>
              <w:bottom w:val="nil"/>
              <w:right w:val="nil"/>
            </w:tcBorders>
          </w:tcPr>
          <w:p w:rsidR="009220C5" w:rsidRDefault="00AF6027">
            <w:pPr>
              <w:spacing w:after="0" w:line="259" w:lineRule="auto"/>
              <w:ind w:right="0" w:firstLine="0"/>
              <w:jc w:val="left"/>
            </w:pPr>
            <w:r>
              <w:rPr>
                <w:sz w:val="18"/>
              </w:rPr>
              <w:t>&lt;0.001</w:t>
            </w:r>
          </w:p>
        </w:tc>
      </w:tr>
      <w:tr w:rsidR="009220C5">
        <w:trPr>
          <w:trHeight w:val="254"/>
        </w:trPr>
        <w:tc>
          <w:tcPr>
            <w:tcW w:w="4139" w:type="dxa"/>
            <w:tcBorders>
              <w:top w:val="nil"/>
              <w:left w:val="nil"/>
              <w:bottom w:val="nil"/>
              <w:right w:val="nil"/>
            </w:tcBorders>
          </w:tcPr>
          <w:p w:rsidR="009220C5" w:rsidRDefault="00AF6027">
            <w:pPr>
              <w:spacing w:after="0" w:line="259" w:lineRule="auto"/>
              <w:ind w:left="59" w:right="0" w:firstLine="0"/>
              <w:jc w:val="left"/>
            </w:pPr>
            <w:r>
              <w:rPr>
                <w:i/>
                <w:sz w:val="18"/>
              </w:rPr>
              <w:t>Staphylococcus</w:t>
            </w:r>
            <w:r>
              <w:rPr>
                <w:sz w:val="18"/>
              </w:rPr>
              <w:t xml:space="preserve"> spp</w:t>
            </w:r>
          </w:p>
        </w:tc>
        <w:tc>
          <w:tcPr>
            <w:tcW w:w="2862" w:type="dxa"/>
            <w:tcBorders>
              <w:top w:val="nil"/>
              <w:left w:val="nil"/>
              <w:bottom w:val="nil"/>
              <w:right w:val="nil"/>
            </w:tcBorders>
          </w:tcPr>
          <w:p w:rsidR="009220C5" w:rsidRDefault="00AF6027">
            <w:pPr>
              <w:spacing w:after="0" w:line="259" w:lineRule="auto"/>
              <w:ind w:right="0" w:firstLine="0"/>
              <w:jc w:val="left"/>
            </w:pPr>
            <w:r>
              <w:rPr>
                <w:sz w:val="18"/>
              </w:rPr>
              <w:t>0.43 (0.20-0.91)</w:t>
            </w:r>
          </w:p>
        </w:tc>
        <w:tc>
          <w:tcPr>
            <w:tcW w:w="1322" w:type="dxa"/>
            <w:tcBorders>
              <w:top w:val="nil"/>
              <w:left w:val="nil"/>
              <w:bottom w:val="nil"/>
              <w:right w:val="nil"/>
            </w:tcBorders>
          </w:tcPr>
          <w:p w:rsidR="009220C5" w:rsidRDefault="00AF6027">
            <w:pPr>
              <w:spacing w:after="0" w:line="259" w:lineRule="auto"/>
              <w:ind w:right="0" w:firstLine="0"/>
              <w:jc w:val="left"/>
            </w:pPr>
            <w:r>
              <w:rPr>
                <w:sz w:val="18"/>
              </w:rPr>
              <w:t>0.028</w:t>
            </w:r>
          </w:p>
        </w:tc>
      </w:tr>
      <w:tr w:rsidR="009220C5">
        <w:trPr>
          <w:trHeight w:val="254"/>
        </w:trPr>
        <w:tc>
          <w:tcPr>
            <w:tcW w:w="4139" w:type="dxa"/>
            <w:tcBorders>
              <w:top w:val="nil"/>
              <w:left w:val="nil"/>
              <w:bottom w:val="nil"/>
              <w:right w:val="nil"/>
            </w:tcBorders>
          </w:tcPr>
          <w:p w:rsidR="009220C5" w:rsidRDefault="00AF6027">
            <w:pPr>
              <w:spacing w:after="0" w:line="259" w:lineRule="auto"/>
              <w:ind w:left="59" w:right="0" w:firstLine="0"/>
              <w:jc w:val="left"/>
            </w:pPr>
            <w:r>
              <w:rPr>
                <w:i/>
                <w:sz w:val="18"/>
              </w:rPr>
              <w:t>E. coli</w:t>
            </w:r>
          </w:p>
        </w:tc>
        <w:tc>
          <w:tcPr>
            <w:tcW w:w="2862" w:type="dxa"/>
            <w:tcBorders>
              <w:top w:val="nil"/>
              <w:left w:val="nil"/>
              <w:bottom w:val="nil"/>
              <w:right w:val="nil"/>
            </w:tcBorders>
          </w:tcPr>
          <w:p w:rsidR="009220C5" w:rsidRDefault="00AF6027">
            <w:pPr>
              <w:spacing w:after="0" w:line="259" w:lineRule="auto"/>
              <w:ind w:right="0" w:firstLine="0"/>
              <w:jc w:val="left"/>
            </w:pPr>
            <w:r>
              <w:rPr>
                <w:sz w:val="18"/>
              </w:rPr>
              <w:t>0.22 (0.07-0.65)</w:t>
            </w:r>
          </w:p>
        </w:tc>
        <w:tc>
          <w:tcPr>
            <w:tcW w:w="1322" w:type="dxa"/>
            <w:tcBorders>
              <w:top w:val="nil"/>
              <w:left w:val="nil"/>
              <w:bottom w:val="nil"/>
              <w:right w:val="nil"/>
            </w:tcBorders>
          </w:tcPr>
          <w:p w:rsidR="009220C5" w:rsidRDefault="00AF6027">
            <w:pPr>
              <w:spacing w:after="0" w:line="259" w:lineRule="auto"/>
              <w:ind w:right="0" w:firstLine="0"/>
              <w:jc w:val="left"/>
            </w:pPr>
            <w:r>
              <w:rPr>
                <w:sz w:val="18"/>
              </w:rPr>
              <w:t>0.007</w:t>
            </w:r>
          </w:p>
        </w:tc>
      </w:tr>
      <w:tr w:rsidR="009220C5">
        <w:trPr>
          <w:trHeight w:val="245"/>
        </w:trPr>
        <w:tc>
          <w:tcPr>
            <w:tcW w:w="4139" w:type="dxa"/>
            <w:tcBorders>
              <w:top w:val="nil"/>
              <w:left w:val="nil"/>
              <w:bottom w:val="single" w:sz="2" w:space="0" w:color="000000"/>
              <w:right w:val="nil"/>
            </w:tcBorders>
          </w:tcPr>
          <w:p w:rsidR="009220C5" w:rsidRDefault="00AF6027">
            <w:pPr>
              <w:spacing w:after="0" w:line="259" w:lineRule="auto"/>
              <w:ind w:left="59" w:right="0" w:firstLine="0"/>
              <w:jc w:val="left"/>
            </w:pPr>
            <w:r>
              <w:rPr>
                <w:i/>
                <w:sz w:val="18"/>
              </w:rPr>
              <w:t>Acinetobacters</w:t>
            </w:r>
            <w:r>
              <w:rPr>
                <w:sz w:val="18"/>
              </w:rPr>
              <w:t xml:space="preserve"> spp</w:t>
            </w:r>
          </w:p>
        </w:tc>
        <w:tc>
          <w:tcPr>
            <w:tcW w:w="2862" w:type="dxa"/>
            <w:tcBorders>
              <w:top w:val="nil"/>
              <w:left w:val="nil"/>
              <w:bottom w:val="single" w:sz="2" w:space="0" w:color="000000"/>
              <w:right w:val="nil"/>
            </w:tcBorders>
          </w:tcPr>
          <w:p w:rsidR="009220C5" w:rsidRDefault="00AF6027">
            <w:pPr>
              <w:spacing w:after="0" w:line="259" w:lineRule="auto"/>
              <w:ind w:right="0" w:firstLine="0"/>
              <w:jc w:val="left"/>
            </w:pPr>
            <w:r>
              <w:rPr>
                <w:sz w:val="18"/>
              </w:rPr>
              <w:t>7.80 (1.67-36.26)</w:t>
            </w:r>
          </w:p>
        </w:tc>
        <w:tc>
          <w:tcPr>
            <w:tcW w:w="1322" w:type="dxa"/>
            <w:tcBorders>
              <w:top w:val="nil"/>
              <w:left w:val="nil"/>
              <w:bottom w:val="single" w:sz="2" w:space="0" w:color="000000"/>
              <w:right w:val="nil"/>
            </w:tcBorders>
          </w:tcPr>
          <w:p w:rsidR="009220C5" w:rsidRDefault="00AF6027">
            <w:pPr>
              <w:spacing w:after="0" w:line="259" w:lineRule="auto"/>
              <w:ind w:right="0" w:firstLine="0"/>
              <w:jc w:val="left"/>
            </w:pPr>
            <w:r>
              <w:rPr>
                <w:sz w:val="18"/>
              </w:rPr>
              <w:t>0.009</w:t>
            </w:r>
          </w:p>
        </w:tc>
      </w:tr>
    </w:tbl>
    <w:p w:rsidR="009220C5" w:rsidRDefault="00AF6027">
      <w:pPr>
        <w:spacing w:after="0" w:line="260" w:lineRule="auto"/>
        <w:ind w:left="167" w:right="0" w:hanging="10"/>
      </w:pPr>
      <w:r>
        <w:rPr>
          <w:sz w:val="18"/>
        </w:rPr>
        <w:t xml:space="preserve">Abbreviations:  95%CI ,95% Confidence Interval; SOFA, sequential organ failure assessment. </w:t>
      </w:r>
    </w:p>
    <w:p w:rsidR="009220C5" w:rsidRDefault="009220C5">
      <w:pPr>
        <w:sectPr w:rsidR="009220C5">
          <w:type w:val="continuous"/>
          <w:pgSz w:w="10205" w:h="14740"/>
          <w:pgMar w:top="1680" w:right="850" w:bottom="2086" w:left="849" w:header="720" w:footer="720" w:gutter="0"/>
          <w:cols w:space="720"/>
        </w:sectPr>
      </w:pPr>
    </w:p>
    <w:p w:rsidR="009220C5" w:rsidRDefault="00AF6027">
      <w:pPr>
        <w:spacing w:after="250"/>
        <w:ind w:left="170" w:right="45" w:firstLine="0"/>
      </w:pPr>
      <w:r>
        <w:t xml:space="preserve">blood culture were </w:t>
      </w:r>
      <w:r>
        <w:rPr>
          <w:i/>
        </w:rPr>
        <w:t>Acinetobacter baumannii</w:t>
      </w:r>
      <w:r>
        <w:t xml:space="preserve"> (n=6; 24%) and </w:t>
      </w:r>
      <w:r>
        <w:rPr>
          <w:i/>
        </w:rPr>
        <w:t>Staphilococcus</w:t>
      </w:r>
      <w:r>
        <w:t xml:space="preserve"> spp (n=7; 28%).</w:t>
      </w:r>
    </w:p>
    <w:p w:rsidR="009220C5" w:rsidRDefault="00AF6027">
      <w:pPr>
        <w:pStyle w:val="Heading2"/>
        <w:ind w:left="165"/>
      </w:pPr>
      <w:r>
        <w:t>Outcomes</w:t>
      </w:r>
    </w:p>
    <w:p w:rsidR="009220C5" w:rsidRDefault="00AF6027">
      <w:pPr>
        <w:ind w:left="170" w:right="45"/>
      </w:pPr>
      <w:r>
        <w:t xml:space="preserve">112 patients (31.2%) died during hospitalization and 19 (5.3%) were transferred to the ICU (Table 1). The fatality rate of septic shock patients was significantly higher than sepsis patients (50.8% vs 26.9 %, p&lt;0.001). A higher percentage of patients with </w:t>
      </w:r>
      <w:r>
        <w:t>septic shock was transferred to ICUs (12.3% vs 3.7%).</w:t>
      </w:r>
    </w:p>
    <w:p w:rsidR="009220C5" w:rsidRDefault="00AF6027">
      <w:pPr>
        <w:ind w:left="170" w:right="45"/>
      </w:pPr>
      <w:r>
        <w:t xml:space="preserve">By univariate analysis, age, coming from nursing homes, SOFA score, septic shock, chronic renal failure, GCS, dementia and previous use of antibiotics were associated with mortality. </w:t>
      </w:r>
      <w:r>
        <w:rPr>
          <w:i/>
        </w:rPr>
        <w:t>Acinetobacter</w:t>
      </w:r>
      <w:r>
        <w:t xml:space="preserve"> spp w</w:t>
      </w:r>
      <w:r>
        <w:t xml:space="preserve">as significantly associated with a higher mortality (p=0.002); most </w:t>
      </w:r>
      <w:r>
        <w:rPr>
          <w:i/>
        </w:rPr>
        <w:t>Acinetobacter</w:t>
      </w:r>
      <w:r>
        <w:t xml:space="preserve"> spp were resistant to carbapenem and MDR. Non survivors had a shorter hospital stay with respect to survivors (p &lt; 0.001); 33% of non survivors had a hospital stay of less th</w:t>
      </w:r>
      <w:r>
        <w:t>an 5 days. No increase in fatality rate was found among patients with positive blood culture compared to patients with negative blood culture, respectively 43/159 (27.0%) vs 69/200 (34.5%), p= 0.130. Table 3 shows the characteristics of the patients who su</w:t>
      </w:r>
      <w:r>
        <w:t>rvived or died during hospitalization because of sepsis.</w:t>
      </w:r>
    </w:p>
    <w:p w:rsidR="009220C5" w:rsidRDefault="00AF6027">
      <w:pPr>
        <w:spacing w:after="538"/>
        <w:ind w:left="-15" w:right="45"/>
      </w:pPr>
      <w:r>
        <w:t xml:space="preserve">A multivariable backward stepwise logistic regression analysis was used to examine variables of in-hospital mortality (Table 4); SOFA score, dementia and infections from </w:t>
      </w:r>
      <w:r>
        <w:rPr>
          <w:i/>
        </w:rPr>
        <w:t>Acinetobacter</w:t>
      </w:r>
      <w:r>
        <w:t xml:space="preserve"> spp. were indep</w:t>
      </w:r>
      <w:r>
        <w:t xml:space="preserve">endent risk factors for mortality. Infections with </w:t>
      </w:r>
      <w:r>
        <w:rPr>
          <w:i/>
        </w:rPr>
        <w:t>E. coli</w:t>
      </w:r>
      <w:r>
        <w:t xml:space="preserve"> and </w:t>
      </w:r>
      <w:r>
        <w:rPr>
          <w:i/>
        </w:rPr>
        <w:t>Staphylococcus</w:t>
      </w:r>
      <w:r>
        <w:t xml:space="preserve"> spp., as well as female sex, were associated with lower mortality.  There was a direct relationship between SOFA score and the IMU mortality. Figure  2 shows the SOFA score and t</w:t>
      </w:r>
      <w:r>
        <w:t xml:space="preserve">he corresponding IMU fatality rates; patients with SOFA score 2-3 on admission had IMU fatality rate of 6.3% whereas those with SOFA score </w:t>
      </w:r>
      <w:r>
        <w:rPr>
          <w:u w:val="single" w:color="000000"/>
        </w:rPr>
        <w:t>&gt;</w:t>
      </w:r>
      <w:r>
        <w:t xml:space="preserve"> 12 had a fatality rate of 81.0%.</w:t>
      </w:r>
    </w:p>
    <w:p w:rsidR="009220C5" w:rsidRDefault="00AF6027">
      <w:pPr>
        <w:pStyle w:val="Heading1"/>
        <w:ind w:left="-5"/>
      </w:pPr>
      <w:r>
        <w:t>Discussion</w:t>
      </w:r>
    </w:p>
    <w:p w:rsidR="009220C5" w:rsidRDefault="00AF6027">
      <w:pPr>
        <w:ind w:left="-15" w:right="45"/>
      </w:pPr>
      <w:r>
        <w:t>Our study provides evidence that sepsis is a common problem in IMUs and</w:t>
      </w:r>
      <w:r>
        <w:t xml:space="preserve"> it is associated with a high fatality rate. This large study, including 7,885 patients from 13 IMUs in Apulia, showed that approximately 4.55% of all IMU patients had sepsis diagnosed with Sepsis-3 criteria, confirming that a high prevalence of patients w</w:t>
      </w:r>
      <w:r>
        <w:t>ith sepsis are currently hospitalized outside the ICUs (14, 15).</w:t>
      </w:r>
    </w:p>
    <w:tbl>
      <w:tblPr>
        <w:tblStyle w:val="TableGrid"/>
        <w:tblpPr w:vertAnchor="text" w:horzAnchor="margin"/>
        <w:tblOverlap w:val="never"/>
        <w:tblW w:w="8393" w:type="dxa"/>
        <w:tblInd w:w="0" w:type="dxa"/>
        <w:tblCellMar>
          <w:top w:w="0" w:type="dxa"/>
          <w:left w:w="0" w:type="dxa"/>
          <w:bottom w:w="0" w:type="dxa"/>
          <w:right w:w="13" w:type="dxa"/>
        </w:tblCellMar>
        <w:tblLook w:val="04A0" w:firstRow="1" w:lastRow="0" w:firstColumn="1" w:lastColumn="0" w:noHBand="0" w:noVBand="1"/>
      </w:tblPr>
      <w:tblGrid>
        <w:gridCol w:w="8379"/>
      </w:tblGrid>
      <w:tr w:rsidR="009220C5">
        <w:trPr>
          <w:trHeight w:val="201"/>
        </w:trPr>
        <w:tc>
          <w:tcPr>
            <w:tcW w:w="8379" w:type="dxa"/>
            <w:tcBorders>
              <w:top w:val="nil"/>
              <w:left w:val="nil"/>
              <w:bottom w:val="nil"/>
              <w:right w:val="nil"/>
            </w:tcBorders>
            <w:vAlign w:val="bottom"/>
          </w:tcPr>
          <w:p w:rsidR="009220C5" w:rsidRDefault="00AF6027">
            <w:pPr>
              <w:spacing w:after="149" w:line="259" w:lineRule="auto"/>
              <w:ind w:left="1333" w:right="0" w:firstLine="0"/>
              <w:jc w:val="left"/>
            </w:pPr>
            <w:r>
              <w:rPr>
                <w:noProof/>
              </w:rPr>
              <w:drawing>
                <wp:inline distT="0" distB="0" distL="0" distR="0">
                  <wp:extent cx="3599688" cy="2557272"/>
                  <wp:effectExtent l="0" t="0" r="0" b="0"/>
                  <wp:docPr id="1266" name="Picture 1266"/>
                  <wp:cNvGraphicFramePr/>
                  <a:graphic xmlns:a="http://schemas.openxmlformats.org/drawingml/2006/main">
                    <a:graphicData uri="http://schemas.openxmlformats.org/drawingml/2006/picture">
                      <pic:pic xmlns:pic="http://schemas.openxmlformats.org/drawingml/2006/picture">
                        <pic:nvPicPr>
                          <pic:cNvPr id="1266" name="Picture 1266"/>
                          <pic:cNvPicPr/>
                        </pic:nvPicPr>
                        <pic:blipFill>
                          <a:blip r:embed="rId11"/>
                          <a:stretch>
                            <a:fillRect/>
                          </a:stretch>
                        </pic:blipFill>
                        <pic:spPr>
                          <a:xfrm>
                            <a:off x="0" y="0"/>
                            <a:ext cx="3599688" cy="2557272"/>
                          </a:xfrm>
                          <a:prstGeom prst="rect">
                            <a:avLst/>
                          </a:prstGeom>
                        </pic:spPr>
                      </pic:pic>
                    </a:graphicData>
                  </a:graphic>
                </wp:inline>
              </w:drawing>
            </w:r>
          </w:p>
          <w:p w:rsidR="009220C5" w:rsidRDefault="00AF6027">
            <w:pPr>
              <w:spacing w:after="0" w:line="259" w:lineRule="auto"/>
              <w:ind w:right="0" w:firstLine="0"/>
            </w:pPr>
            <w:r>
              <w:rPr>
                <w:sz w:val="18"/>
              </w:rPr>
              <w:t xml:space="preserve">Figure 2 - Sequential Organ Failure Assessment (SOFA) Score and corresponding IMUs (Internal Medicine Units) </w:t>
            </w:r>
          </w:p>
        </w:tc>
      </w:tr>
    </w:tbl>
    <w:p w:rsidR="009220C5" w:rsidRDefault="00AF6027">
      <w:pPr>
        <w:spacing w:after="638" w:line="260" w:lineRule="auto"/>
        <w:ind w:left="10" w:right="0" w:hanging="10"/>
      </w:pPr>
      <w:r>
        <w:rPr>
          <w:sz w:val="18"/>
        </w:rPr>
        <w:t>fatality rate.</w:t>
      </w:r>
    </w:p>
    <w:p w:rsidR="009220C5" w:rsidRDefault="00AF6027">
      <w:pPr>
        <w:ind w:left="-15" w:right="45"/>
      </w:pPr>
      <w:r>
        <w:t>The sepsis prevalence found in our study was higher than that identified by a recent Italian multicentre study on the sepsis epidemiology in IMUs which was 1.78% (11). This result is in line with several epidemiological studies (4, 16) and with the WHO 202</w:t>
      </w:r>
      <w:r>
        <w:t xml:space="preserve">0 global report (6) reporting an increase in the incidence of sepsis over years. However, there is a lack of literature data on patients hospitalized with sepsis in </w:t>
      </w:r>
    </w:p>
    <w:p w:rsidR="009220C5" w:rsidRDefault="00AF6027">
      <w:pPr>
        <w:spacing w:after="32"/>
        <w:ind w:left="-15" w:right="45" w:firstLine="0"/>
      </w:pPr>
      <w:r>
        <w:t>IMUs.</w:t>
      </w:r>
    </w:p>
    <w:p w:rsidR="009220C5" w:rsidRDefault="00AF6027">
      <w:pPr>
        <w:ind w:left="-15" w:right="45"/>
      </w:pPr>
      <w:r>
        <w:t>Studies conducted at the ICUs, considered the usual healthcare setting for this prob</w:t>
      </w:r>
      <w:r>
        <w:t>lem, have shown at any rate a higher prevalence of sepsis; the earlier Sepsis Occurrence in Acutely III Patients (SOAP) study, a large European study, reported a prevalence of 29.5% (17). More recently, global date from the Intensive Care Over Nation (ICON</w:t>
      </w:r>
      <w:r>
        <w:t>) audit showed the same prevalence of sepsis among patients admitted to ICUs with a wide range between countries from 13.6 to 39.3% (18).</w:t>
      </w:r>
    </w:p>
    <w:p w:rsidR="009220C5" w:rsidRDefault="00AF6027">
      <w:pPr>
        <w:ind w:left="-15" w:right="45"/>
      </w:pPr>
      <w:r>
        <w:t xml:space="preserve">The patients enrolled in our study were elderly (mean age 78 years), affected by chronic poly-pathologies, frequently </w:t>
      </w:r>
      <w:r>
        <w:t>showing cognitive and functional impairment. The advanced age and reduced functional state justified their hospitalization in Internal Medicine wards, as observed in the Italian study of A. Mazzone (11).</w:t>
      </w:r>
    </w:p>
    <w:p w:rsidR="009220C5" w:rsidRDefault="00AF6027">
      <w:pPr>
        <w:ind w:left="-15" w:right="172"/>
      </w:pPr>
      <w:r>
        <w:t>The severity of the patients’ illness can be assesse</w:t>
      </w:r>
      <w:r>
        <w:t xml:space="preserve">d by the mean number of organ system failures, indeed the mean SOFA score was 6.2. This value is comparable with that found in studies on patients with sepsis conducted at the ICUs (19, 20). </w:t>
      </w:r>
    </w:p>
    <w:p w:rsidR="009220C5" w:rsidRDefault="00AF6027">
      <w:pPr>
        <w:ind w:left="-15" w:right="172"/>
      </w:pPr>
      <w:r>
        <w:t xml:space="preserve">Only 25 patients ( 7%) developed sepsis during their IMUs stay. </w:t>
      </w:r>
      <w:r>
        <w:t>Healthcareassociated infections are the most frequent adverse events during hospitalization, especially in ICUs (21). The recent Italian SPIN-UTI study reported a prevalence of 6.2% of ICU-acquired sepsis among patients admitted to the ICUs (22 ). The prob</w:t>
      </w:r>
      <w:r>
        <w:t xml:space="preserve">lem is also common in IMUs and represents a challenge for clinicians.The characteristics of patients admitted to this care setting (elderly, frequently bedridden, using bladder catheters, with altered functional status), are all factors associated with an </w:t>
      </w:r>
      <w:r>
        <w:t>increased risk of hospital infections (23). In our study, the subgrouop of patients with hospital-acquired infections had more severe disease with longer hospital stay and higher mortality, as evidenced by the SPIN-UTI study. According to the Sepsis-3 defi</w:t>
      </w:r>
      <w:r>
        <w:t>nitions, 65 (18.1%) patients were found to have septic shock. As expected it was associated with a higher SOFA score and a higher impairment of cognitive status.  Only 19 (5.3%) patients were transferred to the ICUs with a higher frequency among patients w</w:t>
      </w:r>
      <w:r>
        <w:t>ith septic shock (12.3% vs 3.7%; p&lt;0.01). These data confirm that only a small percentage of patients with sepsis requires a continuous invasive monitoring which can be ensured in the intensive care environment. The correct care setting for sepsis  patient</w:t>
      </w:r>
      <w:r>
        <w:t xml:space="preserve">s is not well defined, indeed three large multicentre studies have shown that resuscitation protocols guided by the measurement of the central venous pressure (CVP) and of the central venous oxygen saturation (ScvO2) do not improve the outcome of patients </w:t>
      </w:r>
      <w:r>
        <w:t>with sepsis or septic shock ( 24-26). These data highlight the heterogeneity of sepsis patients and the need to personalize the treatment pathway reserving access to ICUs only for the most seriously ill patients.</w:t>
      </w:r>
    </w:p>
    <w:p w:rsidR="009220C5" w:rsidRDefault="00AF6027">
      <w:pPr>
        <w:ind w:left="170" w:right="45"/>
      </w:pPr>
      <w:r>
        <w:t>The respiratory system was the most common site of infection, as observed in ICU studies (18).</w:t>
      </w:r>
    </w:p>
    <w:p w:rsidR="009220C5" w:rsidRDefault="00AF6027">
      <w:pPr>
        <w:ind w:left="170" w:right="45"/>
      </w:pPr>
      <w:r>
        <w:t>In our study we showed positive blood cultures in 44.3% of SEMINA patients in line with literature data showing that only 38-69% of patients with sepsis have bac</w:t>
      </w:r>
      <w:r>
        <w:t>terial blood stream infections (27). The results of the various studies are difficult to compare, as they depend on the timing of the blood draw, the previous treatment with antibiotics and the presence of viable organisms. In the SEMINA study, blood for c</w:t>
      </w:r>
      <w:r>
        <w:t>ulture was drawn before starting empiric antibiotic therapy for the suspected infection, thereby eliminating a confounding factor. The fatality rates were similar among culturepositive versus culture-negative patients (27% vs 34.5%, p=0.130). The literatur</w:t>
      </w:r>
      <w:r>
        <w:t>e data relating to outcomes between culturepositive and culture-negative septic patients are controversial. A recent meta-analysis including 7 studies showed that there was no significant difference in mortality between two groups (28).</w:t>
      </w:r>
    </w:p>
    <w:p w:rsidR="009220C5" w:rsidRDefault="00AF6027">
      <w:pPr>
        <w:ind w:left="-15" w:right="45"/>
      </w:pPr>
      <w:r>
        <w:t>Gram negative bacte</w:t>
      </w:r>
      <w:r>
        <w:t xml:space="preserve">ria were more frequently isolated (54.7% versus 48.4%), as observed in recent studies  outside the ICUs (14, 29); among patients with septic shock, Gram-negative bacteria were the agents responsible for the infection in two-thirds of cases and 10 patients </w:t>
      </w:r>
      <w:r>
        <w:t xml:space="preserve">transferred to ICUs had sepsis from gram negative bacteria. Our findings are in agreement with those of other studies that have shown an increased risk of poor outcomes in patients with Gram negative bacteremia (30, 31). </w:t>
      </w:r>
    </w:p>
    <w:p w:rsidR="009220C5" w:rsidRDefault="00AF6027">
      <w:pPr>
        <w:ind w:left="-15" w:right="45"/>
      </w:pPr>
      <w:r>
        <w:t>A high percentage of antibiotic re</w:t>
      </w:r>
      <w:r>
        <w:t>sistance was detected among both Gram-negative and Gram-positive bacteria, in particular we observed that 23.9% of sepsis with positive blood culture were due to MDR bacteria, and 13.2% were due to bacteria resistant to carbapenem. Several studies reported</w:t>
      </w:r>
      <w:r>
        <w:t xml:space="preserve"> an increased risk of lethality in patients with MDR infections in ICUs (32, 33). However, the literature date are conflicting, indeed some authors have shown that antibioticresistance is not associated with an increase in lethality (34), and that only sep</w:t>
      </w:r>
      <w:r>
        <w:t>sis due to extensively drug-resistant (XDR) bacteria are a strong predictor of death (35). In agreement with these latest studies, our data did not show increased lethality among patients with MDR isolates, highlighting that other factors might play a pred</w:t>
      </w:r>
      <w:r>
        <w:t>ominant role for the risk of death.</w:t>
      </w:r>
    </w:p>
    <w:p w:rsidR="009220C5" w:rsidRDefault="00AF6027">
      <w:pPr>
        <w:ind w:left="-15" w:right="45"/>
      </w:pPr>
      <w:r>
        <w:t>In-hospital fatality rates in SEMINA patients was 31.2% and, as expected, there was an increase in fatality rate according to the severity of sepsis, indeed we observed a fatality rate of 26.9% in patients with sepsis an</w:t>
      </w:r>
      <w:r>
        <w:t>d of 50.8% in patients with septic shock. The fatality rate in our study was higher than that observed in the SOAP and ICON studies conducted in European ICUs in 2002 and 2012 respectively (17, 19) and also than that observed in the Italian study of Mazzon</w:t>
      </w:r>
      <w:r>
        <w:t>e conducted in IMUs (11).</w:t>
      </w:r>
    </w:p>
    <w:p w:rsidR="009220C5" w:rsidRDefault="00AF6027">
      <w:pPr>
        <w:spacing w:after="250"/>
        <w:ind w:left="-15" w:right="45"/>
      </w:pPr>
      <w:r>
        <w:t>The patients observed in our study were older than SOAP and ICON patients and more likely to have cognitive and functional impairments and multiple comorbidities, conditions that identify a vulnerable population at high risk of mo</w:t>
      </w:r>
      <w:r>
        <w:t xml:space="preserve">rtality. Different factors have been related to the risk of inhospital death in our patients including SOFA score, dementia and infections with </w:t>
      </w:r>
      <w:r>
        <w:rPr>
          <w:i/>
        </w:rPr>
        <w:t>Acinetobacter</w:t>
      </w:r>
      <w:r>
        <w:t xml:space="preserve"> spp. The association between </w:t>
      </w:r>
      <w:r>
        <w:rPr>
          <w:i/>
        </w:rPr>
        <w:t>Acinetobacter</w:t>
      </w:r>
      <w:r>
        <w:t xml:space="preserve"> spp. infection and mortality has been observed in sever</w:t>
      </w:r>
      <w:r>
        <w:t xml:space="preserve">al studies (32, 33). In critically ill patients, </w:t>
      </w:r>
      <w:r>
        <w:rPr>
          <w:i/>
        </w:rPr>
        <w:t>Acinetobacter</w:t>
      </w:r>
      <w:r>
        <w:t xml:space="preserve"> spp. colonization is considered a marker of immune dysfunction that occurs in the most advanced stages of sepsis and correlates closely with mortality. Given the high frequency of resistance to</w:t>
      </w:r>
      <w:r>
        <w:t xml:space="preserve"> many antibiotics, this pathogen has become a challenge in infections in IMUs. In our population 33% of non survivors had a very short hospital stay of less than 5 days; this underlines that a subpopulations of enrolled patients were suffering from serious</w:t>
      </w:r>
      <w:r>
        <w:t xml:space="preserve"> preexisting diseases and therefore the sepsis could be considered a contributing factor to the death. Few studies have investigated the causes of death in patients with sepsis, whether death after sepsis is related to the sepsis or to the underlying disea</w:t>
      </w:r>
      <w:r>
        <w:t>se. A retrospective study that enrolled 497 patients with positive blood culture sepsis, showed that the underlying disease played a considerable role in the death of sepsis patients (36). Similarly, the high fatality rate observed in our study could be re</w:t>
      </w:r>
      <w:r>
        <w:t>lated to the underlying diseases and to the vulnerability of elderly patients admitted to our IMUs. Finally, the adoption of the Sepsis-3 criteria identified a population at greater risk of mortality due to the greater burden of organ dysfunction. Our stud</w:t>
      </w:r>
      <w:r>
        <w:t>y confirmed that SOFA score, as indicated by the Sepsis-3 Consensus for intensive care patients (1), is a useful predictor of mortality even for patients with sepsis admitted to IMUs.</w:t>
      </w:r>
    </w:p>
    <w:p w:rsidR="009220C5" w:rsidRDefault="00AF6027">
      <w:pPr>
        <w:pStyle w:val="Heading2"/>
        <w:ind w:left="-5"/>
      </w:pPr>
      <w:r>
        <w:rPr>
          <w:b w:val="0"/>
        </w:rPr>
        <w:t>Strengths and limitations of the study</w:t>
      </w:r>
    </w:p>
    <w:p w:rsidR="009220C5" w:rsidRDefault="00AF6027">
      <w:pPr>
        <w:spacing w:after="537"/>
        <w:ind w:left="-15" w:right="170"/>
      </w:pPr>
      <w:r>
        <w:t>Our study should be interpreted i</w:t>
      </w:r>
      <w:r>
        <w:t xml:space="preserve">n view of some limitations. The role of empirical antibiotic therapy on patient outcomes was not evaluated and a common resuscitation protocol was not envisaged for all centres. The study did not include information relating to the therapeutic approach to </w:t>
      </w:r>
      <w:r>
        <w:t>sepsis, indeed the protocol did not involve any deviation from the usual care for sepsis. However, some difference in mortality rate between participating centres was found. This could be related to several factors  such as hospital admission rate, hospita</w:t>
      </w:r>
      <w:r>
        <w:t>l size, number of IMU beds and nurse to patients ratio. Further insights are needed to evaluate the role of these parameters on the outcome of sepsis patients. Despite these limitations, this was a prospective, large epidemiology study that provided valuab</w:t>
      </w:r>
      <w:r>
        <w:t>le information about the epidemiology of sepsis in Apulia’s IMUs. The strength of our study was the adoption of a validated criterion for sepsis diagnosis, which required the calculation of the SOFA score for all patients.</w:t>
      </w:r>
    </w:p>
    <w:p w:rsidR="009220C5" w:rsidRDefault="00AF6027">
      <w:pPr>
        <w:pStyle w:val="Heading1"/>
        <w:ind w:left="-5"/>
      </w:pPr>
      <w:r>
        <w:t>Conclusions</w:t>
      </w:r>
    </w:p>
    <w:p w:rsidR="009220C5" w:rsidRDefault="00AF6027">
      <w:pPr>
        <w:spacing w:after="466"/>
        <w:ind w:left="-15" w:right="171"/>
      </w:pPr>
      <w:r>
        <w:t>Our study highlighted</w:t>
      </w:r>
      <w:r>
        <w:t xml:space="preserve"> that sepsis is a pathology with a high prevalence in Internal Medicine Units in Apulia and with high fatality rate. The patients admitted to our wards were elderly, suffering from poly-pathologies and with cognitive and functional impairment. Most of pati</w:t>
      </w:r>
      <w:r>
        <w:t>ents had sepsis from gram-negative bacteria, but in a high percentage the blood culture remained negative. Fatality rate was not affected by positive blood culture or by multidrugresistant bacteria, but it was related to vulnerability and functional impair</w:t>
      </w:r>
      <w:r>
        <w:t>ment of the patients. However, further appropriate studies are needed to better clarify the role of patients vulnerability and the underlying diseases on fatality rate in elderly patients with sepsis. Finally, the role of appropriate strategies for the pre</w:t>
      </w:r>
      <w:r>
        <w:t>vention of hospital infections and of adverse effects of sepsis in IMUs, should be evaluated.</w:t>
      </w:r>
    </w:p>
    <w:p w:rsidR="009220C5" w:rsidRDefault="00AF6027">
      <w:pPr>
        <w:pStyle w:val="Heading2"/>
        <w:ind w:left="170" w:firstLine="0"/>
      </w:pPr>
      <w:r>
        <w:rPr>
          <w:i w:val="0"/>
          <w:sz w:val="18"/>
        </w:rPr>
        <w:t>Acknowledgements</w:t>
      </w:r>
    </w:p>
    <w:p w:rsidR="009220C5" w:rsidRDefault="00AF6027">
      <w:pPr>
        <w:spacing w:after="516" w:line="260" w:lineRule="auto"/>
        <w:ind w:left="167" w:right="0" w:hanging="10"/>
      </w:pPr>
      <w:r>
        <w:rPr>
          <w:sz w:val="18"/>
        </w:rPr>
        <w:t>The authors would like to thank Prof. Michele Langiulli, for his support in reviewing the English text. The authors declare they have no conflict</w:t>
      </w:r>
      <w:r>
        <w:rPr>
          <w:sz w:val="18"/>
        </w:rPr>
        <w:t>s of interest This research did not receive any specific grant from funding agencies in the public, commercial, or not-forprofit sectors.</w:t>
      </w:r>
    </w:p>
    <w:p w:rsidR="009220C5" w:rsidRDefault="00AF6027">
      <w:pPr>
        <w:pStyle w:val="Heading2"/>
        <w:spacing w:after="101"/>
      </w:pPr>
      <w:r>
        <w:rPr>
          <w:i w:val="0"/>
          <w:sz w:val="20"/>
        </w:rPr>
        <w:t>Riassunto</w:t>
      </w:r>
    </w:p>
    <w:p w:rsidR="009220C5" w:rsidRDefault="00AF6027">
      <w:pPr>
        <w:spacing w:after="209" w:line="249" w:lineRule="auto"/>
        <w:ind w:left="170" w:firstLine="0"/>
      </w:pPr>
      <w:r>
        <w:rPr>
          <w:b/>
          <w:i/>
          <w:sz w:val="19"/>
        </w:rPr>
        <w:t>Epidemiologia delle sepsi nei reparti di Medicina Interna della Puglia: i dati dello studio SEMINA (SEpsis Management in INternal medicine Apulia)</w:t>
      </w:r>
    </w:p>
    <w:p w:rsidR="009220C5" w:rsidRDefault="00AF6027">
      <w:pPr>
        <w:spacing w:after="0" w:line="260" w:lineRule="auto"/>
        <w:ind w:left="157" w:right="0" w:firstLine="170"/>
      </w:pPr>
      <w:r>
        <w:rPr>
          <w:b/>
          <w:sz w:val="18"/>
        </w:rPr>
        <w:t>Introduzione.</w:t>
      </w:r>
      <w:r>
        <w:rPr>
          <w:sz w:val="18"/>
        </w:rPr>
        <w:t xml:space="preserve"> La prevalenza e la mortalità dei pazienti con sepsi, ricoverati presso le Unità di Medicina Interna, sono poco note poiché la maggior parte dei dati derivano da studi condotti presso le Unità di Terapia Intensiva. Scopo dello studio SEMINA (SEpsis Managem</w:t>
      </w:r>
      <w:r>
        <w:rPr>
          <w:sz w:val="18"/>
        </w:rPr>
        <w:t>ent in INternal medicine Apulia) è stato determinare la prevalenza della sepsi insieme alle caratteristiche e alla prognosi dei pazienti ricoverati nei reparti di Medicina Interna in Puglia, per un periodo di osservazione di sei mesi, utilizzando i criteri</w:t>
      </w:r>
      <w:r>
        <w:rPr>
          <w:sz w:val="18"/>
        </w:rPr>
        <w:t xml:space="preserve"> Sepsis-3.</w:t>
      </w:r>
    </w:p>
    <w:p w:rsidR="009220C5" w:rsidRDefault="00AF6027">
      <w:pPr>
        <w:spacing w:after="0" w:line="260" w:lineRule="auto"/>
        <w:ind w:left="157" w:right="0" w:firstLine="170"/>
      </w:pPr>
      <w:r>
        <w:rPr>
          <w:b/>
          <w:sz w:val="18"/>
        </w:rPr>
        <w:t>Metodi.</w:t>
      </w:r>
      <w:r>
        <w:rPr>
          <w:sz w:val="18"/>
        </w:rPr>
        <w:t xml:space="preserve"> Lo studio SEMINA è uno studio prospettico, multicentrico, osservazionale. Tutti i soggetti ricoverati presso 13 Unità di Medicina Interna in Puglia, nel periodo compreso fra il 15 novembre 2018 e il 15 Maggio 2019, sono stati considerati</w:t>
      </w:r>
      <w:r>
        <w:rPr>
          <w:sz w:val="18"/>
        </w:rPr>
        <w:t xml:space="preserve"> per selezionare i pazienti affetti da sepsi in accordo con in criteri Sepsis-3. I dati di ciascun paziente sono stati raccolti in un apposito database. </w:t>
      </w:r>
    </w:p>
    <w:p w:rsidR="009220C5" w:rsidRDefault="00AF6027">
      <w:pPr>
        <w:spacing w:after="0" w:line="260" w:lineRule="auto"/>
        <w:ind w:left="157" w:right="0" w:firstLine="170"/>
      </w:pPr>
      <w:r>
        <w:rPr>
          <w:b/>
          <w:sz w:val="18"/>
        </w:rPr>
        <w:t>Risultati.</w:t>
      </w:r>
      <w:r>
        <w:rPr>
          <w:sz w:val="18"/>
        </w:rPr>
        <w:t xml:space="preserve"> Nel periodo di studio sono stati ammessi 7885 pazienti presso le Unità di Medicina Interna </w:t>
      </w:r>
      <w:r>
        <w:rPr>
          <w:sz w:val="18"/>
        </w:rPr>
        <w:t xml:space="preserve">partecipanti; di questi 359 (4.55%) soddisfacevano i criteri di inclusione e un sottogruppo di 65 pazienti (18.1%) aveva i criteri dello shock settico. I pazienti arruolati erano anziani, soffrivano di patologie croniche ed avevano disfunzioni cognitive e </w:t>
      </w:r>
      <w:r>
        <w:rPr>
          <w:sz w:val="18"/>
        </w:rPr>
        <w:t xml:space="preserve">funzionali. L’apparato respiratorio è risultato la sede più comune di infezione.  I patogeni più frequentemente isolati dalle emocolture sono risultati: </w:t>
      </w:r>
      <w:r>
        <w:rPr>
          <w:i/>
          <w:sz w:val="18"/>
        </w:rPr>
        <w:t>Staphilococcus</w:t>
      </w:r>
      <w:r>
        <w:rPr>
          <w:sz w:val="18"/>
        </w:rPr>
        <w:t xml:space="preserve"> spp., </w:t>
      </w:r>
      <w:r>
        <w:rPr>
          <w:i/>
          <w:sz w:val="18"/>
        </w:rPr>
        <w:t>E. coli,</w:t>
      </w:r>
      <w:r>
        <w:rPr>
          <w:sz w:val="18"/>
        </w:rPr>
        <w:t xml:space="preserve"> </w:t>
      </w:r>
      <w:r>
        <w:rPr>
          <w:i/>
          <w:sz w:val="18"/>
        </w:rPr>
        <w:t>Klebsiella</w:t>
      </w:r>
      <w:r>
        <w:rPr>
          <w:sz w:val="18"/>
        </w:rPr>
        <w:t xml:space="preserve"> spp., </w:t>
      </w:r>
      <w:r>
        <w:rPr>
          <w:i/>
          <w:sz w:val="18"/>
        </w:rPr>
        <w:t>Enterococcus</w:t>
      </w:r>
      <w:r>
        <w:rPr>
          <w:sz w:val="18"/>
        </w:rPr>
        <w:t xml:space="preserve"> spp. e </w:t>
      </w:r>
      <w:r>
        <w:rPr>
          <w:i/>
          <w:sz w:val="18"/>
        </w:rPr>
        <w:t xml:space="preserve">Acinetobacter </w:t>
      </w:r>
      <w:r>
        <w:rPr>
          <w:sz w:val="18"/>
        </w:rPr>
        <w:t>spp. La mortalità ospe</w:t>
      </w:r>
      <w:r>
        <w:rPr>
          <w:sz w:val="18"/>
        </w:rPr>
        <w:t xml:space="preserve">daliera è risultata del 31.2%, significativamente maggiore per lo shock settico. Fattori di rischio indipendenti per la mortalità sono risultati il SOFA (Sequential Organ Failure Assessment) score, la demenza e le infezioni da </w:t>
      </w:r>
      <w:r>
        <w:rPr>
          <w:i/>
          <w:sz w:val="18"/>
        </w:rPr>
        <w:t>Acinetobacter</w:t>
      </w:r>
      <w:r>
        <w:rPr>
          <w:sz w:val="18"/>
        </w:rPr>
        <w:t xml:space="preserve"> spp. </w:t>
      </w:r>
    </w:p>
    <w:p w:rsidR="009220C5" w:rsidRDefault="00AF6027">
      <w:pPr>
        <w:spacing w:after="447" w:line="260" w:lineRule="auto"/>
        <w:ind w:right="0" w:firstLine="170"/>
      </w:pPr>
      <w:r>
        <w:rPr>
          <w:b/>
          <w:sz w:val="18"/>
        </w:rPr>
        <w:t>Conclusio</w:t>
      </w:r>
      <w:r>
        <w:rPr>
          <w:b/>
          <w:sz w:val="18"/>
        </w:rPr>
        <w:t>ni.</w:t>
      </w:r>
      <w:r>
        <w:rPr>
          <w:sz w:val="18"/>
        </w:rPr>
        <w:t xml:space="preserve"> Presso le Unità di Medicina Interna in Puglia sono state riscontrate una elevata prevalenza della sepsi e una elevata mortalità. L’elevato tasso di mortalità osservato nel nostro studio potrebbe essere correlato con le patologie associate e con la vuln</w:t>
      </w:r>
      <w:r>
        <w:rPr>
          <w:sz w:val="18"/>
        </w:rPr>
        <w:t>erabilità dei pazienti anziani ricoverati presso le Unità di Medicina Interna.</w:t>
      </w:r>
    </w:p>
    <w:p w:rsidR="009220C5" w:rsidRDefault="00AF6027">
      <w:pPr>
        <w:pStyle w:val="Heading2"/>
        <w:spacing w:after="194"/>
        <w:ind w:left="-5"/>
      </w:pPr>
      <w:r>
        <w:rPr>
          <w:i w:val="0"/>
          <w:sz w:val="20"/>
        </w:rPr>
        <w:t>References</w:t>
      </w:r>
    </w:p>
    <w:p w:rsidR="009220C5" w:rsidRDefault="00AF6027">
      <w:pPr>
        <w:numPr>
          <w:ilvl w:val="0"/>
          <w:numId w:val="2"/>
        </w:numPr>
        <w:spacing w:line="254" w:lineRule="auto"/>
        <w:ind w:right="36" w:hanging="397"/>
      </w:pPr>
      <w:r>
        <w:rPr>
          <w:sz w:val="19"/>
        </w:rPr>
        <w:t xml:space="preserve">Singer M, Deutschman CS, Seymour CW, et al. The Third International Consensus Definitions for Sepsis and Septic Shock (Sepsis-3). JAMA. 2016 Feb 23; </w:t>
      </w:r>
      <w:r>
        <w:rPr>
          <w:b/>
          <w:sz w:val="19"/>
        </w:rPr>
        <w:t>315</w:t>
      </w:r>
      <w:r>
        <w:rPr>
          <w:sz w:val="19"/>
        </w:rPr>
        <w:t>(8): 801-10. d</w:t>
      </w:r>
      <w:r>
        <w:rPr>
          <w:sz w:val="19"/>
        </w:rPr>
        <w:t>oi: 10.1001/ jama.2016.0287.</w:t>
      </w:r>
    </w:p>
    <w:p w:rsidR="009220C5" w:rsidRDefault="00AF6027">
      <w:pPr>
        <w:numPr>
          <w:ilvl w:val="0"/>
          <w:numId w:val="2"/>
        </w:numPr>
        <w:spacing w:line="254" w:lineRule="auto"/>
        <w:ind w:right="36" w:hanging="397"/>
      </w:pPr>
      <w:r>
        <w:rPr>
          <w:sz w:val="19"/>
        </w:rPr>
        <w:t>Shankar-Hari M, Harrison DA, Rubenfeld GD, Rowan K. Epidemiology of sepsis and septic shock in critical care units: comparison between sepsis-2 and sepsis-3 populations using a national critical care database. Br J Anaesth. 201</w:t>
      </w:r>
      <w:r>
        <w:rPr>
          <w:sz w:val="19"/>
        </w:rPr>
        <w:t xml:space="preserve">7 Oct 1; </w:t>
      </w:r>
      <w:r>
        <w:rPr>
          <w:b/>
          <w:sz w:val="19"/>
        </w:rPr>
        <w:t>119</w:t>
      </w:r>
      <w:r>
        <w:rPr>
          <w:sz w:val="19"/>
        </w:rPr>
        <w:t>(4): 626-36. doi: 10.1093/bja/ aex234.</w:t>
      </w:r>
    </w:p>
    <w:p w:rsidR="009220C5" w:rsidRDefault="00AF6027">
      <w:pPr>
        <w:numPr>
          <w:ilvl w:val="0"/>
          <w:numId w:val="2"/>
        </w:numPr>
        <w:spacing w:line="254" w:lineRule="auto"/>
        <w:ind w:right="36" w:hanging="397"/>
      </w:pPr>
      <w:r>
        <w:rPr>
          <w:sz w:val="19"/>
        </w:rPr>
        <w:t xml:space="preserve">Marx G; SepNet Critical Care Trials Group. Incidence of severe sepsis and septic shock in German intensive care units: the prospective, multicentre INSEP study. Intensive Care Med. 2016 Dec; </w:t>
      </w:r>
      <w:r>
        <w:rPr>
          <w:b/>
          <w:sz w:val="19"/>
        </w:rPr>
        <w:t>42</w:t>
      </w:r>
      <w:r>
        <w:rPr>
          <w:sz w:val="19"/>
        </w:rPr>
        <w:t>(12): 1980-6</w:t>
      </w:r>
      <w:r>
        <w:rPr>
          <w:sz w:val="19"/>
        </w:rPr>
        <w:t>. doi: 10.1007/s00134016-4504-3. Epub 2016 Sep 29.</w:t>
      </w:r>
    </w:p>
    <w:p w:rsidR="009220C5" w:rsidRDefault="00AF6027">
      <w:pPr>
        <w:numPr>
          <w:ilvl w:val="0"/>
          <w:numId w:val="2"/>
        </w:numPr>
        <w:spacing w:line="254" w:lineRule="auto"/>
        <w:ind w:right="36" w:hanging="397"/>
      </w:pPr>
      <w:r>
        <w:rPr>
          <w:sz w:val="19"/>
        </w:rPr>
        <w:t xml:space="preserve">De La Rica AS, Gilsanz F, Maseda E. Epidemiologic trends of sepsis in western countries. Ann Transl Med. 2016 Sep; </w:t>
      </w:r>
      <w:r>
        <w:rPr>
          <w:b/>
          <w:sz w:val="19"/>
        </w:rPr>
        <w:t>4</w:t>
      </w:r>
      <w:r>
        <w:rPr>
          <w:sz w:val="19"/>
        </w:rPr>
        <w:t>(17): 325. doi: 10.21037/atm.2016.08.59.</w:t>
      </w:r>
    </w:p>
    <w:p w:rsidR="009220C5" w:rsidRDefault="00AF6027">
      <w:pPr>
        <w:numPr>
          <w:ilvl w:val="0"/>
          <w:numId w:val="2"/>
        </w:numPr>
        <w:spacing w:line="254" w:lineRule="auto"/>
        <w:ind w:right="36" w:hanging="397"/>
      </w:pPr>
      <w:r>
        <w:rPr>
          <w:sz w:val="19"/>
        </w:rPr>
        <w:t>Fleischmann C, Scherag A, Adhikari NK, et al. In</w:t>
      </w:r>
      <w:r>
        <w:rPr>
          <w:sz w:val="19"/>
        </w:rPr>
        <w:t xml:space="preserve">ternational Forum of Acute Care Trialists. Assessment of global incidence and mortality of Hospital-treated sepsis. Current estimates and limitations. Am J Respir Crit Care Med. 2016 Feb 1; </w:t>
      </w:r>
      <w:r>
        <w:rPr>
          <w:b/>
          <w:sz w:val="19"/>
        </w:rPr>
        <w:t>193</w:t>
      </w:r>
      <w:r>
        <w:rPr>
          <w:sz w:val="19"/>
        </w:rPr>
        <w:t xml:space="preserve">(3): 259-72. doi: 10.1164/ rccm.201504-0781OC. </w:t>
      </w:r>
    </w:p>
    <w:p w:rsidR="009220C5" w:rsidRDefault="00AF6027">
      <w:pPr>
        <w:numPr>
          <w:ilvl w:val="0"/>
          <w:numId w:val="2"/>
        </w:numPr>
        <w:spacing w:line="254" w:lineRule="auto"/>
        <w:ind w:right="36" w:hanging="397"/>
      </w:pPr>
      <w:r>
        <w:rPr>
          <w:sz w:val="19"/>
        </w:rPr>
        <w:t>Global report o</w:t>
      </w:r>
      <w:r>
        <w:rPr>
          <w:sz w:val="19"/>
        </w:rPr>
        <w:t>n the epidemiology and burden of sepsis: current evidence, identifying gaps and future directions. Geneva: World Health Organization; 2020. Licence: CC BY-NC-SA 3.0 IGO</w:t>
      </w:r>
    </w:p>
    <w:p w:rsidR="009220C5" w:rsidRDefault="00AF6027">
      <w:pPr>
        <w:numPr>
          <w:ilvl w:val="0"/>
          <w:numId w:val="2"/>
        </w:numPr>
        <w:spacing w:line="254" w:lineRule="auto"/>
        <w:ind w:right="36" w:hanging="397"/>
      </w:pPr>
      <w:r>
        <w:rPr>
          <w:sz w:val="19"/>
        </w:rPr>
        <w:t>Verma AA, Guo Y, Kwam JL, et al. Patient characteristics, resource use and outcomes ass</w:t>
      </w:r>
      <w:r>
        <w:rPr>
          <w:sz w:val="19"/>
        </w:rPr>
        <w:t xml:space="preserve">ociated with general internal medicine hospital care: the General Medicine Inpatient Initiative (GEMINI) retrospective cohort study. CMAJ Open. 2017 Dec 11; </w:t>
      </w:r>
      <w:r>
        <w:rPr>
          <w:b/>
          <w:sz w:val="19"/>
        </w:rPr>
        <w:t>5</w:t>
      </w:r>
      <w:r>
        <w:rPr>
          <w:sz w:val="19"/>
        </w:rPr>
        <w:t>(4): E842-7. doi: 10.9778/ cmajo.20170097. Epub 2017 Dec 13.</w:t>
      </w:r>
    </w:p>
    <w:p w:rsidR="009220C5" w:rsidRDefault="00AF6027">
      <w:pPr>
        <w:numPr>
          <w:ilvl w:val="0"/>
          <w:numId w:val="2"/>
        </w:numPr>
        <w:spacing w:line="254" w:lineRule="auto"/>
        <w:ind w:right="36" w:hanging="397"/>
      </w:pPr>
      <w:r>
        <w:rPr>
          <w:sz w:val="19"/>
        </w:rPr>
        <w:t xml:space="preserve">Buurman BM, Frenkel WJ, Abu-Hanna A, </w:t>
      </w:r>
      <w:r>
        <w:rPr>
          <w:sz w:val="19"/>
        </w:rPr>
        <w:t xml:space="preserve">Parlevliet JC, de Rooij SE. Acute and chronic diseases as part of multimorbidity in acutely hospitalized older patients. Eur J Intern Med. 2016 Jan; </w:t>
      </w:r>
      <w:r>
        <w:rPr>
          <w:b/>
          <w:sz w:val="19"/>
        </w:rPr>
        <w:t>27</w:t>
      </w:r>
      <w:r>
        <w:rPr>
          <w:sz w:val="19"/>
        </w:rPr>
        <w:t>: 68-75. doi: 10.1016/j.ejim.2015.09.021. Epub 2015 Oct 21.</w:t>
      </w:r>
    </w:p>
    <w:p w:rsidR="009220C5" w:rsidRDefault="00AF6027">
      <w:pPr>
        <w:numPr>
          <w:ilvl w:val="0"/>
          <w:numId w:val="2"/>
        </w:numPr>
        <w:spacing w:line="254" w:lineRule="auto"/>
        <w:ind w:right="36" w:hanging="397"/>
      </w:pPr>
      <w:r>
        <w:rPr>
          <w:sz w:val="19"/>
        </w:rPr>
        <w:t>Rohde JM, Odden AJ, Bonham C, et al. The epid</w:t>
      </w:r>
      <w:r>
        <w:rPr>
          <w:sz w:val="19"/>
        </w:rPr>
        <w:t xml:space="preserve">emiology of acute organ system dysfunction from severe sepsis outside of the intensive care units. J Hosp Med. 2013; </w:t>
      </w:r>
      <w:r>
        <w:rPr>
          <w:b/>
          <w:sz w:val="19"/>
        </w:rPr>
        <w:t>8</w:t>
      </w:r>
      <w:r>
        <w:rPr>
          <w:sz w:val="19"/>
        </w:rPr>
        <w:t>(5): 243-7. doi: 10.1002/jhm.2012. Epub 2013 Feb 8.</w:t>
      </w:r>
    </w:p>
    <w:p w:rsidR="009220C5" w:rsidRDefault="00AF6027">
      <w:pPr>
        <w:numPr>
          <w:ilvl w:val="0"/>
          <w:numId w:val="2"/>
        </w:numPr>
        <w:spacing w:line="254" w:lineRule="auto"/>
        <w:ind w:right="36" w:hanging="397"/>
      </w:pPr>
      <w:r>
        <w:rPr>
          <w:sz w:val="19"/>
        </w:rPr>
        <w:t xml:space="preserve">Whittaker SA, Fuchs BD, Gaieski DF, et al. Epidemiology and outcomes in patients with </w:t>
      </w:r>
      <w:r>
        <w:rPr>
          <w:sz w:val="19"/>
        </w:rPr>
        <w:t xml:space="preserve">severe sepsis admitted to the hospital wards. J Crit Care. 2015 Feb; </w:t>
      </w:r>
      <w:r>
        <w:rPr>
          <w:b/>
          <w:sz w:val="19"/>
        </w:rPr>
        <w:t>30</w:t>
      </w:r>
      <w:r>
        <w:rPr>
          <w:sz w:val="19"/>
        </w:rPr>
        <w:t>(1): 78-84. doi: 10.1016/j.</w:t>
      </w:r>
    </w:p>
    <w:p w:rsidR="009220C5" w:rsidRDefault="00AF6027">
      <w:pPr>
        <w:spacing w:line="254" w:lineRule="auto"/>
        <w:ind w:left="397" w:right="36" w:firstLine="0"/>
      </w:pPr>
      <w:r>
        <w:rPr>
          <w:sz w:val="19"/>
        </w:rPr>
        <w:t>jcrc.2014.07.012. Epub 2014 Jul 22.</w:t>
      </w:r>
    </w:p>
    <w:p w:rsidR="009220C5" w:rsidRDefault="00AF6027">
      <w:pPr>
        <w:numPr>
          <w:ilvl w:val="0"/>
          <w:numId w:val="2"/>
        </w:numPr>
        <w:spacing w:line="254" w:lineRule="auto"/>
        <w:ind w:right="36" w:hanging="397"/>
      </w:pPr>
      <w:r>
        <w:rPr>
          <w:sz w:val="19"/>
        </w:rPr>
        <w:t xml:space="preserve">Mazzone A, Dentali F, La Regina M, et al. Clinical features, short-term mortality, and prognostic risk factors of septic </w:t>
      </w:r>
      <w:r>
        <w:rPr>
          <w:sz w:val="19"/>
        </w:rPr>
        <w:t xml:space="preserve">patients admitted to internal medicine units: results of an Italian multicenter prospective study. Medicine (Baltimore). 2016 Jan; </w:t>
      </w:r>
      <w:r>
        <w:rPr>
          <w:b/>
          <w:sz w:val="19"/>
        </w:rPr>
        <w:t>95</w:t>
      </w:r>
      <w:r>
        <w:rPr>
          <w:sz w:val="19"/>
        </w:rPr>
        <w:t>(4): e2124. doi: 10.1097/ MD.0000000000002124.</w:t>
      </w:r>
    </w:p>
    <w:p w:rsidR="009220C5" w:rsidRDefault="00AF6027">
      <w:pPr>
        <w:numPr>
          <w:ilvl w:val="0"/>
          <w:numId w:val="2"/>
        </w:numPr>
        <w:spacing w:line="254" w:lineRule="auto"/>
        <w:ind w:right="36" w:hanging="397"/>
      </w:pPr>
      <w:r>
        <w:rPr>
          <w:sz w:val="19"/>
        </w:rPr>
        <w:t xml:space="preserve">Verboom DM, Frencken JF, Ong DSY, et al. Robustness of sepsis-3 criteria in critically ill patients. J Intensive Care. 2019 Aug 29; </w:t>
      </w:r>
      <w:r>
        <w:rPr>
          <w:b/>
          <w:sz w:val="19"/>
        </w:rPr>
        <w:t>7</w:t>
      </w:r>
      <w:r>
        <w:rPr>
          <w:sz w:val="19"/>
        </w:rPr>
        <w:t xml:space="preserve">: 46. </w:t>
      </w:r>
    </w:p>
    <w:p w:rsidR="009220C5" w:rsidRDefault="00AF6027">
      <w:pPr>
        <w:spacing w:line="254" w:lineRule="auto"/>
        <w:ind w:left="397" w:right="36" w:firstLine="0"/>
      </w:pPr>
      <w:r>
        <w:rPr>
          <w:sz w:val="19"/>
        </w:rPr>
        <w:t>doi: 10.1186/s40560-019-0400-6.</w:t>
      </w:r>
    </w:p>
    <w:p w:rsidR="009220C5" w:rsidRDefault="00AF6027">
      <w:pPr>
        <w:numPr>
          <w:ilvl w:val="0"/>
          <w:numId w:val="2"/>
        </w:numPr>
        <w:spacing w:line="254" w:lineRule="auto"/>
        <w:ind w:right="36" w:hanging="397"/>
      </w:pPr>
      <w:r>
        <w:rPr>
          <w:sz w:val="19"/>
        </w:rPr>
        <w:t>Magiorakos AP, Srinivasan A, Carey RB, et al. Multidrug-resistant, extensively drug-</w:t>
      </w:r>
      <w:r>
        <w:rPr>
          <w:sz w:val="19"/>
        </w:rPr>
        <w:t xml:space="preserve">resistant and pandrug-resistant bacteria: an international expert proposal for interim standard definitions for acquired resistance. Clin Microbiol Infect. 2012 Mar; </w:t>
      </w:r>
      <w:r>
        <w:rPr>
          <w:b/>
          <w:sz w:val="19"/>
        </w:rPr>
        <w:t>18</w:t>
      </w:r>
      <w:r>
        <w:rPr>
          <w:sz w:val="19"/>
        </w:rPr>
        <w:t>(3): 268-81. doi: 10.1111/j.14690691.2011.03570.x. Epub 2011 Jul 27.</w:t>
      </w:r>
    </w:p>
    <w:p w:rsidR="009220C5" w:rsidRDefault="00AF6027">
      <w:pPr>
        <w:numPr>
          <w:ilvl w:val="0"/>
          <w:numId w:val="2"/>
        </w:numPr>
        <w:spacing w:line="254" w:lineRule="auto"/>
        <w:ind w:right="36" w:hanging="397"/>
      </w:pPr>
      <w:r>
        <w:rPr>
          <w:sz w:val="19"/>
        </w:rPr>
        <w:t xml:space="preserve">Esteban A, Frutos-Vivar F, Ferguson ND, et al. Sepsis incidence and outcome: contrasting the intensive care unit with the hospital ward. Crit Care Med. 2007 May; </w:t>
      </w:r>
      <w:r>
        <w:rPr>
          <w:b/>
          <w:sz w:val="19"/>
        </w:rPr>
        <w:t>35</w:t>
      </w:r>
      <w:r>
        <w:rPr>
          <w:sz w:val="19"/>
        </w:rPr>
        <w:t>(5): 1284-9. doi: 10.1097/01.CCM.0000260960.94300.DE.</w:t>
      </w:r>
    </w:p>
    <w:p w:rsidR="009220C5" w:rsidRDefault="00AF6027">
      <w:pPr>
        <w:numPr>
          <w:ilvl w:val="0"/>
          <w:numId w:val="2"/>
        </w:numPr>
        <w:spacing w:line="254" w:lineRule="auto"/>
        <w:ind w:right="36" w:hanging="397"/>
      </w:pPr>
      <w:r>
        <w:rPr>
          <w:sz w:val="19"/>
        </w:rPr>
        <w:t>Vardi M, Ghanem-Zoubi NO, Bitterman H,</w:t>
      </w:r>
      <w:r>
        <w:rPr>
          <w:sz w:val="19"/>
        </w:rPr>
        <w:t xml:space="preserve"> et al. Sepsis in nonagenarians admitted to internal medicine departments: a comparative study of outcomes. QJM. 2013 Mar; </w:t>
      </w:r>
      <w:r>
        <w:rPr>
          <w:b/>
          <w:sz w:val="19"/>
        </w:rPr>
        <w:t>106</w:t>
      </w:r>
      <w:r>
        <w:rPr>
          <w:sz w:val="19"/>
        </w:rPr>
        <w:t>(3): 261-6. doi: 10.1093/qjmed/hcs221. Epub 2012 Nov 27.</w:t>
      </w:r>
    </w:p>
    <w:p w:rsidR="009220C5" w:rsidRDefault="00AF6027">
      <w:pPr>
        <w:numPr>
          <w:ilvl w:val="0"/>
          <w:numId w:val="2"/>
        </w:numPr>
        <w:spacing w:line="254" w:lineRule="auto"/>
        <w:ind w:right="36" w:hanging="397"/>
      </w:pPr>
      <w:r>
        <w:rPr>
          <w:sz w:val="19"/>
        </w:rPr>
        <w:t>Mellhammar L, Wullt S, Lindberg Å, Lanbeck P, Christensson B, Linder A. S</w:t>
      </w:r>
      <w:r>
        <w:rPr>
          <w:sz w:val="19"/>
        </w:rPr>
        <w:t xml:space="preserve">epsis incindence: a population-based study. Open Forum Infect Dis. 2016 Dec 8; </w:t>
      </w:r>
      <w:r>
        <w:rPr>
          <w:b/>
          <w:sz w:val="19"/>
        </w:rPr>
        <w:t>3</w:t>
      </w:r>
      <w:r>
        <w:rPr>
          <w:sz w:val="19"/>
        </w:rPr>
        <w:t xml:space="preserve">(4): ofw207.doi: 10.1093/ ofid/ofw207. </w:t>
      </w:r>
    </w:p>
    <w:p w:rsidR="009220C5" w:rsidRDefault="00AF6027">
      <w:pPr>
        <w:numPr>
          <w:ilvl w:val="0"/>
          <w:numId w:val="2"/>
        </w:numPr>
        <w:spacing w:line="254" w:lineRule="auto"/>
        <w:ind w:right="36" w:hanging="397"/>
      </w:pPr>
      <w:r>
        <w:rPr>
          <w:sz w:val="19"/>
        </w:rPr>
        <w:t xml:space="preserve">Vincent JL, Sakr Y, Sprung CL, et al. Sepsis in European intensive care units: results of the SOAP study. Crit Care Med. 2006 Feb; </w:t>
      </w:r>
      <w:r>
        <w:rPr>
          <w:b/>
          <w:sz w:val="19"/>
        </w:rPr>
        <w:t>34</w:t>
      </w:r>
      <w:r>
        <w:rPr>
          <w:sz w:val="19"/>
        </w:rPr>
        <w:t>(2)</w:t>
      </w:r>
      <w:r>
        <w:rPr>
          <w:sz w:val="19"/>
        </w:rPr>
        <w:t xml:space="preserve">: 344-53. </w:t>
      </w:r>
    </w:p>
    <w:p w:rsidR="009220C5" w:rsidRDefault="00AF6027">
      <w:pPr>
        <w:spacing w:after="0" w:line="259" w:lineRule="auto"/>
        <w:ind w:left="14" w:right="0" w:firstLine="0"/>
        <w:jc w:val="center"/>
      </w:pPr>
      <w:r>
        <w:rPr>
          <w:sz w:val="19"/>
        </w:rPr>
        <w:t>doi: 10.1097/01.ccm.0000194725.48928.3a.</w:t>
      </w:r>
    </w:p>
    <w:p w:rsidR="009220C5" w:rsidRDefault="00AF6027">
      <w:pPr>
        <w:numPr>
          <w:ilvl w:val="0"/>
          <w:numId w:val="2"/>
        </w:numPr>
        <w:spacing w:line="254" w:lineRule="auto"/>
        <w:ind w:right="36" w:hanging="397"/>
      </w:pPr>
      <w:r>
        <w:rPr>
          <w:sz w:val="19"/>
        </w:rPr>
        <w:t xml:space="preserve">Sakr Y, Jaschinski U, Wittebole X, et al. Sepsis in intensive care unit patients: worldwide data from the Intensive Care Over Nations audit. Open Forum Infect Dis. 2018 Nov 19; </w:t>
      </w:r>
      <w:r>
        <w:rPr>
          <w:b/>
          <w:sz w:val="19"/>
        </w:rPr>
        <w:t>5</w:t>
      </w:r>
      <w:r>
        <w:rPr>
          <w:sz w:val="19"/>
        </w:rPr>
        <w:t>(12): ofy313. doi: 10.1093</w:t>
      </w:r>
      <w:r>
        <w:rPr>
          <w:sz w:val="19"/>
        </w:rPr>
        <w:t>/ofid/ofy313.</w:t>
      </w:r>
    </w:p>
    <w:p w:rsidR="009220C5" w:rsidRDefault="00AF6027">
      <w:pPr>
        <w:numPr>
          <w:ilvl w:val="0"/>
          <w:numId w:val="2"/>
        </w:numPr>
        <w:spacing w:line="254" w:lineRule="auto"/>
        <w:ind w:right="36" w:hanging="397"/>
      </w:pPr>
      <w:r>
        <w:rPr>
          <w:sz w:val="19"/>
        </w:rPr>
        <w:t xml:space="preserve">Vincent JL, Lefrant JY, Kotfis K, et al. on behalf of the ICON and SOAP investigators. Comparison of European ICU patients in 2012 (ICON) versus 2002 (SOAP) Intensive Care Med. 2018 Mar; </w:t>
      </w:r>
      <w:r>
        <w:rPr>
          <w:b/>
          <w:sz w:val="19"/>
        </w:rPr>
        <w:t>44</w:t>
      </w:r>
      <w:r>
        <w:rPr>
          <w:sz w:val="19"/>
        </w:rPr>
        <w:t>(3): 337-44. doi: 10.1007/s00134-0175043-2. Epub 2018</w:t>
      </w:r>
      <w:r>
        <w:rPr>
          <w:sz w:val="19"/>
        </w:rPr>
        <w:t xml:space="preserve"> Feb 15.</w:t>
      </w:r>
    </w:p>
    <w:p w:rsidR="009220C5" w:rsidRDefault="00AF6027">
      <w:pPr>
        <w:numPr>
          <w:ilvl w:val="0"/>
          <w:numId w:val="2"/>
        </w:numPr>
        <w:spacing w:line="254" w:lineRule="auto"/>
        <w:ind w:right="36" w:hanging="397"/>
      </w:pPr>
      <w:r>
        <w:rPr>
          <w:sz w:val="19"/>
        </w:rPr>
        <w:t xml:space="preserve">Klimpel J, Weidhase L, Bernhard M, Gries A, Petros S. The impact of the Sepsis-3 definition on ICU admission of patients with infection. Scand J Trauma Resusc Emerg Med. 2019 Nov 4; </w:t>
      </w:r>
      <w:r>
        <w:rPr>
          <w:b/>
          <w:sz w:val="19"/>
        </w:rPr>
        <w:t>27</w:t>
      </w:r>
      <w:r>
        <w:rPr>
          <w:sz w:val="19"/>
        </w:rPr>
        <w:t>(1): 98. doi: 10.1186/s13049-019-0680-9.</w:t>
      </w:r>
    </w:p>
    <w:p w:rsidR="009220C5" w:rsidRDefault="00AF6027">
      <w:pPr>
        <w:numPr>
          <w:ilvl w:val="0"/>
          <w:numId w:val="2"/>
        </w:numPr>
        <w:spacing w:line="254" w:lineRule="auto"/>
        <w:ind w:right="36" w:hanging="397"/>
      </w:pPr>
      <w:r>
        <w:rPr>
          <w:sz w:val="19"/>
        </w:rPr>
        <w:t>Haque M, Sartelli M, M</w:t>
      </w:r>
      <w:r>
        <w:rPr>
          <w:sz w:val="19"/>
        </w:rPr>
        <w:t xml:space="preserve">cKimm J, Bakar MA. Health care-associated infections - an overview. Infect Drug Resist. 2018 Nov 15; </w:t>
      </w:r>
      <w:r>
        <w:rPr>
          <w:b/>
          <w:sz w:val="19"/>
        </w:rPr>
        <w:t>11</w:t>
      </w:r>
      <w:r>
        <w:rPr>
          <w:sz w:val="19"/>
        </w:rPr>
        <w:t>: 2321-33. doi: 10.2147/IDR.S177247.</w:t>
      </w:r>
    </w:p>
    <w:p w:rsidR="009220C5" w:rsidRDefault="00AF6027">
      <w:pPr>
        <w:numPr>
          <w:ilvl w:val="0"/>
          <w:numId w:val="2"/>
        </w:numPr>
        <w:spacing w:line="254" w:lineRule="auto"/>
        <w:ind w:right="36" w:hanging="397"/>
      </w:pPr>
      <w:r>
        <w:rPr>
          <w:sz w:val="19"/>
        </w:rPr>
        <w:t>Agodi A, Barchitta M, Auxilia F, et al. SPIN-UTI network Epidemiology of intensive care unitacquired sepsis in Italy</w:t>
      </w:r>
      <w:r>
        <w:rPr>
          <w:sz w:val="19"/>
        </w:rPr>
        <w:t xml:space="preserve">: results of the SPIN-UTI network. Ann Ig. 2018 Sep-Oct; </w:t>
      </w:r>
      <w:r>
        <w:rPr>
          <w:b/>
          <w:sz w:val="19"/>
        </w:rPr>
        <w:t>30</w:t>
      </w:r>
      <w:r>
        <w:rPr>
          <w:sz w:val="19"/>
        </w:rPr>
        <w:t>(Suppl. 2): 15-21. doi: 10.7416/ai.2018.2247.</w:t>
      </w:r>
    </w:p>
    <w:p w:rsidR="009220C5" w:rsidRDefault="00AF6027">
      <w:pPr>
        <w:numPr>
          <w:ilvl w:val="0"/>
          <w:numId w:val="2"/>
        </w:numPr>
        <w:spacing w:line="254" w:lineRule="auto"/>
        <w:ind w:right="36" w:hanging="397"/>
      </w:pPr>
      <w:r>
        <w:rPr>
          <w:sz w:val="19"/>
        </w:rPr>
        <w:t>Lanini S, Jarvis WR, Nicastri E, et al; INF-NOS study group. Healthcare-associated infection in Italy: annual point-prevalence surveys, 20022004. Infec</w:t>
      </w:r>
      <w:r>
        <w:rPr>
          <w:sz w:val="19"/>
        </w:rPr>
        <w:t xml:space="preserve">t Control Hosp Epidemiol. 2009 Jul; </w:t>
      </w:r>
      <w:r>
        <w:rPr>
          <w:b/>
          <w:sz w:val="19"/>
        </w:rPr>
        <w:t>30</w:t>
      </w:r>
      <w:r>
        <w:rPr>
          <w:sz w:val="19"/>
        </w:rPr>
        <w:t>(7): 659-65. doi: 10.1086/597596.</w:t>
      </w:r>
    </w:p>
    <w:p w:rsidR="009220C5" w:rsidRDefault="00AF6027">
      <w:pPr>
        <w:numPr>
          <w:ilvl w:val="0"/>
          <w:numId w:val="2"/>
        </w:numPr>
        <w:spacing w:line="254" w:lineRule="auto"/>
        <w:ind w:right="36" w:hanging="397"/>
      </w:pPr>
      <w:r>
        <w:rPr>
          <w:sz w:val="19"/>
        </w:rPr>
        <w:t xml:space="preserve">Yealy DM, Kellum JA, Huang DT, et al; ProCESS Investigators. A randomized trial of protocol-based care for early septic shock. N </w:t>
      </w:r>
    </w:p>
    <w:p w:rsidR="009220C5" w:rsidRDefault="00AF6027">
      <w:pPr>
        <w:spacing w:line="254" w:lineRule="auto"/>
        <w:ind w:left="397" w:right="173" w:firstLine="0"/>
      </w:pPr>
      <w:r>
        <w:rPr>
          <w:sz w:val="19"/>
        </w:rPr>
        <w:t xml:space="preserve">Engl J Med. 2014 May; </w:t>
      </w:r>
      <w:r>
        <w:rPr>
          <w:b/>
          <w:sz w:val="19"/>
        </w:rPr>
        <w:t>370</w:t>
      </w:r>
      <w:r>
        <w:rPr>
          <w:sz w:val="19"/>
        </w:rPr>
        <w:t>(18): 1683-93. doi: 10.1056/N</w:t>
      </w:r>
      <w:r>
        <w:rPr>
          <w:sz w:val="19"/>
        </w:rPr>
        <w:t>EJMoa1401602. Epub 2014 Mar 18.</w:t>
      </w:r>
    </w:p>
    <w:p w:rsidR="009220C5" w:rsidRDefault="00AF6027">
      <w:pPr>
        <w:numPr>
          <w:ilvl w:val="0"/>
          <w:numId w:val="2"/>
        </w:numPr>
        <w:spacing w:line="254" w:lineRule="auto"/>
        <w:ind w:right="36" w:hanging="397"/>
      </w:pPr>
      <w:r>
        <w:rPr>
          <w:sz w:val="19"/>
        </w:rPr>
        <w:t xml:space="preserve">Peake SL, Delaney A, Bailey M, et al; ARISE Investigators; ANZICS Clinical Trials Group. Goal-directed resuscitation for patients with early septic shock. N Engl J Med. 2014 Oct 16; </w:t>
      </w:r>
      <w:r>
        <w:rPr>
          <w:b/>
          <w:sz w:val="19"/>
        </w:rPr>
        <w:t>371</w:t>
      </w:r>
      <w:r>
        <w:rPr>
          <w:sz w:val="19"/>
        </w:rPr>
        <w:t>(16): 1496-506. doi: 10.1056/NEJMoa1404</w:t>
      </w:r>
      <w:r>
        <w:rPr>
          <w:sz w:val="19"/>
        </w:rPr>
        <w:t>380. Epub 2014 Oct 1.</w:t>
      </w:r>
    </w:p>
    <w:p w:rsidR="009220C5" w:rsidRDefault="00AF6027">
      <w:pPr>
        <w:numPr>
          <w:ilvl w:val="0"/>
          <w:numId w:val="2"/>
        </w:numPr>
        <w:spacing w:line="254" w:lineRule="auto"/>
        <w:ind w:right="36" w:hanging="397"/>
      </w:pPr>
      <w:r>
        <w:rPr>
          <w:sz w:val="19"/>
        </w:rPr>
        <w:t xml:space="preserve">Mouncey PR, Osborn TM, Power GS, et al; ProMISe Trial Investigators. Trial of early, goal-directed resuscitation for septic shock. N Engl J Med. 2015 Apr 2; </w:t>
      </w:r>
      <w:r>
        <w:rPr>
          <w:b/>
          <w:sz w:val="19"/>
        </w:rPr>
        <w:t>372</w:t>
      </w:r>
      <w:r>
        <w:rPr>
          <w:sz w:val="19"/>
        </w:rPr>
        <w:t>(14): 1301-11. doi: 10.1056/NEJMoa1500896. Epub 2015 Mar 17.</w:t>
      </w:r>
    </w:p>
    <w:p w:rsidR="009220C5" w:rsidRDefault="00AF6027">
      <w:pPr>
        <w:numPr>
          <w:ilvl w:val="0"/>
          <w:numId w:val="2"/>
        </w:numPr>
        <w:spacing w:line="254" w:lineRule="auto"/>
        <w:ind w:right="36" w:hanging="397"/>
      </w:pPr>
      <w:r>
        <w:rPr>
          <w:sz w:val="19"/>
        </w:rPr>
        <w:t>Coburn B, Mor</w:t>
      </w:r>
      <w:r>
        <w:rPr>
          <w:sz w:val="19"/>
        </w:rPr>
        <w:t xml:space="preserve">ris AM, Tomlinson, Detsky AS. Does this adult patient with suspected bacteremia require blood culture? JAMA. 2012 Aug 1; </w:t>
      </w:r>
      <w:r>
        <w:rPr>
          <w:b/>
          <w:sz w:val="19"/>
        </w:rPr>
        <w:t>308</w:t>
      </w:r>
      <w:r>
        <w:rPr>
          <w:sz w:val="19"/>
        </w:rPr>
        <w:t>(5): 502-11. doi: 10.1001/jama.2012.8262.</w:t>
      </w:r>
    </w:p>
    <w:p w:rsidR="009220C5" w:rsidRDefault="00AF6027">
      <w:pPr>
        <w:numPr>
          <w:ilvl w:val="0"/>
          <w:numId w:val="2"/>
        </w:numPr>
        <w:spacing w:line="254" w:lineRule="auto"/>
        <w:ind w:right="36" w:hanging="397"/>
      </w:pPr>
      <w:r>
        <w:rPr>
          <w:sz w:val="19"/>
        </w:rPr>
        <w:t>Li Y, Guo J, Yang H, Li H, Shen Y, Zhang D. Comparison of culture-negative and cultureposi</w:t>
      </w:r>
      <w:r>
        <w:rPr>
          <w:sz w:val="19"/>
        </w:rPr>
        <w:t xml:space="preserve">tive sepsis or septic shock: a systematic review and meta-analysis. Crit Care. 2021 May 8; </w:t>
      </w:r>
      <w:r>
        <w:rPr>
          <w:b/>
          <w:sz w:val="19"/>
        </w:rPr>
        <w:t>25</w:t>
      </w:r>
      <w:r>
        <w:rPr>
          <w:sz w:val="19"/>
        </w:rPr>
        <w:t>(1): 167. doi: 10.1186/s13054-021-03592-8.</w:t>
      </w:r>
    </w:p>
    <w:p w:rsidR="009220C5" w:rsidRDefault="00AF6027">
      <w:pPr>
        <w:numPr>
          <w:ilvl w:val="0"/>
          <w:numId w:val="2"/>
        </w:numPr>
        <w:spacing w:line="254" w:lineRule="auto"/>
        <w:ind w:right="36" w:hanging="397"/>
      </w:pPr>
      <w:r>
        <w:rPr>
          <w:sz w:val="19"/>
        </w:rPr>
        <w:t>Rohde JM, Odden AJ, Bonham C, et al. The epidemiology of acute organ system dysfunction from severe sepsis outside of th</w:t>
      </w:r>
      <w:r>
        <w:rPr>
          <w:sz w:val="19"/>
        </w:rPr>
        <w:t xml:space="preserve">e intensive care unit. J Hosp Med. 2013 May; </w:t>
      </w:r>
      <w:r>
        <w:rPr>
          <w:b/>
          <w:sz w:val="19"/>
        </w:rPr>
        <w:t>8</w:t>
      </w:r>
      <w:r>
        <w:rPr>
          <w:sz w:val="19"/>
        </w:rPr>
        <w:t>(5): 243-7. doi: 10.1002/jhm.2012. Epub 2013 Feb 8.</w:t>
      </w:r>
    </w:p>
    <w:p w:rsidR="009220C5" w:rsidRDefault="00AF6027">
      <w:pPr>
        <w:numPr>
          <w:ilvl w:val="0"/>
          <w:numId w:val="2"/>
        </w:numPr>
        <w:spacing w:line="254" w:lineRule="auto"/>
        <w:ind w:right="36" w:hanging="397"/>
      </w:pPr>
      <w:r>
        <w:rPr>
          <w:sz w:val="19"/>
        </w:rPr>
        <w:t xml:space="preserve">Kang CI, Song JH, Chung DR, et al. Risk factors and pathogenic significance of severe sepsis and septic shock in 2286 patients with gram-negative bacteremia. </w:t>
      </w:r>
      <w:r>
        <w:rPr>
          <w:sz w:val="19"/>
        </w:rPr>
        <w:t xml:space="preserve">J Infect. 2011 Jan; </w:t>
      </w:r>
      <w:r>
        <w:rPr>
          <w:b/>
          <w:sz w:val="19"/>
        </w:rPr>
        <w:t>62</w:t>
      </w:r>
      <w:r>
        <w:rPr>
          <w:sz w:val="19"/>
        </w:rPr>
        <w:t>(1): 26-33. doi: 10.1016/j.jinf.2010.10.010. Epub 2010 Nov 4.</w:t>
      </w:r>
    </w:p>
    <w:p w:rsidR="009220C5" w:rsidRDefault="00AF6027">
      <w:pPr>
        <w:numPr>
          <w:ilvl w:val="0"/>
          <w:numId w:val="2"/>
        </w:numPr>
        <w:spacing w:line="254" w:lineRule="auto"/>
        <w:ind w:right="36" w:hanging="397"/>
      </w:pPr>
      <w:r>
        <w:rPr>
          <w:sz w:val="19"/>
        </w:rPr>
        <w:t>Maskarinec SA, Park LP, Ruffin F, et al. Positive Follow-up Blood cultures identify high mortality risk among patients with Gram negative bacteremia. Clin Microbiol Infect.</w:t>
      </w:r>
      <w:r>
        <w:rPr>
          <w:sz w:val="19"/>
        </w:rPr>
        <w:t xml:space="preserve"> 2020 Jul; </w:t>
      </w:r>
      <w:r>
        <w:rPr>
          <w:b/>
          <w:sz w:val="19"/>
        </w:rPr>
        <w:t>26</w:t>
      </w:r>
      <w:r>
        <w:rPr>
          <w:sz w:val="19"/>
        </w:rPr>
        <w:t>(7): 904-10. doi: 10.1016/j.cmi.2020.01.025. Epub 2020 Feb 28.</w:t>
      </w:r>
    </w:p>
    <w:p w:rsidR="009220C5" w:rsidRDefault="00AF6027">
      <w:pPr>
        <w:numPr>
          <w:ilvl w:val="0"/>
          <w:numId w:val="2"/>
        </w:numPr>
        <w:spacing w:line="254" w:lineRule="auto"/>
        <w:ind w:right="36" w:hanging="397"/>
      </w:pPr>
      <w:r>
        <w:rPr>
          <w:sz w:val="19"/>
        </w:rPr>
        <w:t>Vardakas KZ, Rafailidis PI, Konstantelias AA, Falagas ME. Predictors of mortality in patients with infections due to multi-drug resistant Gram negative bacteria: the study, the pat</w:t>
      </w:r>
      <w:r>
        <w:rPr>
          <w:sz w:val="19"/>
        </w:rPr>
        <w:t xml:space="preserve">ient, the bug or the drug? J Infect. 2013 May; </w:t>
      </w:r>
      <w:r>
        <w:rPr>
          <w:b/>
          <w:sz w:val="19"/>
        </w:rPr>
        <w:t>66</w:t>
      </w:r>
      <w:r>
        <w:rPr>
          <w:sz w:val="19"/>
        </w:rPr>
        <w:t xml:space="preserve">(5): 401-14. </w:t>
      </w:r>
    </w:p>
    <w:p w:rsidR="009220C5" w:rsidRDefault="00AF6027">
      <w:pPr>
        <w:spacing w:line="254" w:lineRule="auto"/>
        <w:ind w:left="397" w:right="36" w:firstLine="0"/>
      </w:pPr>
      <w:r>
        <w:rPr>
          <w:sz w:val="19"/>
        </w:rPr>
        <w:t>doi: 10.1016/j.jinf.2012.10.028. Epub 2012 Nov 6.</w:t>
      </w:r>
    </w:p>
    <w:p w:rsidR="009220C5" w:rsidRDefault="00AF6027">
      <w:pPr>
        <w:numPr>
          <w:ilvl w:val="0"/>
          <w:numId w:val="2"/>
        </w:numPr>
        <w:spacing w:line="254" w:lineRule="auto"/>
        <w:ind w:right="36" w:hanging="397"/>
      </w:pPr>
      <w:r>
        <w:rPr>
          <w:sz w:val="19"/>
        </w:rPr>
        <w:t xml:space="preserve">Busani S, Serafini G, Mantovani E, et al. Mortality in patients with septic shock by multidrug resistant bacteria: risk factors and impact of sepsis treatments. J Intensive Care Med. 2019 Jan; </w:t>
      </w:r>
      <w:r>
        <w:rPr>
          <w:b/>
          <w:sz w:val="19"/>
        </w:rPr>
        <w:t>34</w:t>
      </w:r>
      <w:r>
        <w:rPr>
          <w:sz w:val="19"/>
        </w:rPr>
        <w:t>(1): 48-54. doi: 10.1177/0885066616688165. Epub 2017 Jan 18.</w:t>
      </w:r>
    </w:p>
    <w:p w:rsidR="009220C5" w:rsidRDefault="00AF6027">
      <w:pPr>
        <w:numPr>
          <w:ilvl w:val="0"/>
          <w:numId w:val="2"/>
        </w:numPr>
        <w:spacing w:line="254" w:lineRule="auto"/>
        <w:ind w:right="36" w:hanging="397"/>
      </w:pPr>
      <w:r>
        <w:rPr>
          <w:sz w:val="19"/>
        </w:rPr>
        <w:t xml:space="preserve">Blot S, Vandewoude K, De Bacquer D, Colardyn F. Nosocomial bacteremia caused by antibioticresistant gram-negative bacteria in critically ill patients: clinical outcome and length of hospitalization. Clin Infect Dis.  2002 Jun 15; </w:t>
      </w:r>
      <w:r>
        <w:rPr>
          <w:b/>
          <w:sz w:val="19"/>
        </w:rPr>
        <w:t>34</w:t>
      </w:r>
      <w:r>
        <w:rPr>
          <w:sz w:val="19"/>
        </w:rPr>
        <w:t>(12): 1600-6. doi: 10.10</w:t>
      </w:r>
      <w:r>
        <w:rPr>
          <w:sz w:val="19"/>
        </w:rPr>
        <w:t>86/340616. Epub 2002 May 23.</w:t>
      </w:r>
    </w:p>
    <w:p w:rsidR="009220C5" w:rsidRDefault="00AF6027">
      <w:pPr>
        <w:numPr>
          <w:ilvl w:val="0"/>
          <w:numId w:val="2"/>
        </w:numPr>
        <w:spacing w:line="254" w:lineRule="auto"/>
        <w:ind w:right="36" w:hanging="397"/>
      </w:pPr>
      <w:r>
        <w:rPr>
          <w:sz w:val="19"/>
        </w:rPr>
        <w:t>Santoro A, Franceschini E, Meschiari M, et al. Epidemiology and risk factors associated with mortality in consecutive patients with bacterial bloodstream infection: impact of MDR and XDR bacteria. Open Forum Infect Dis. 2020 Se</w:t>
      </w:r>
      <w:r>
        <w:rPr>
          <w:sz w:val="19"/>
        </w:rPr>
        <w:t xml:space="preserve">p 30; </w:t>
      </w:r>
      <w:r>
        <w:rPr>
          <w:b/>
          <w:sz w:val="19"/>
        </w:rPr>
        <w:t>7</w:t>
      </w:r>
      <w:r>
        <w:rPr>
          <w:sz w:val="19"/>
        </w:rPr>
        <w:t>(11): ofaa461. doi: 10.1093/ofid/ofaa461.</w:t>
      </w:r>
    </w:p>
    <w:p w:rsidR="009220C5" w:rsidRDefault="00AF6027">
      <w:pPr>
        <w:numPr>
          <w:ilvl w:val="0"/>
          <w:numId w:val="2"/>
        </w:numPr>
        <w:spacing w:line="254" w:lineRule="auto"/>
        <w:ind w:right="36" w:hanging="397"/>
      </w:pPr>
      <w:r>
        <w:rPr>
          <w:sz w:val="19"/>
        </w:rPr>
        <w:t xml:space="preserve">Rannikko J, Syrjänen J, Seiskari T, Aittoniemi J, Huttunen R. Sepsis-related mortality in 497 cases with blood culture-positive sepsis in an emergency department. Int J Infect Dis. 2017 May; </w:t>
      </w:r>
      <w:r>
        <w:rPr>
          <w:b/>
          <w:sz w:val="19"/>
        </w:rPr>
        <w:t>58</w:t>
      </w:r>
      <w:r>
        <w:rPr>
          <w:sz w:val="19"/>
        </w:rPr>
        <w:t>: 52-7. doi: 1</w:t>
      </w:r>
      <w:r>
        <w:rPr>
          <w:sz w:val="19"/>
        </w:rPr>
        <w:t xml:space="preserve">0.1016/j.ijid.2017.03.005. </w:t>
      </w:r>
    </w:p>
    <w:p w:rsidR="009220C5" w:rsidRDefault="00AF6027">
      <w:pPr>
        <w:spacing w:line="254" w:lineRule="auto"/>
        <w:ind w:left="397" w:right="36" w:firstLine="0"/>
      </w:pPr>
      <w:r>
        <w:rPr>
          <w:sz w:val="19"/>
        </w:rPr>
        <w:t>Epub 2017 Mar 10.</w:t>
      </w:r>
    </w:p>
    <w:p w:rsidR="009220C5" w:rsidRDefault="009220C5">
      <w:pPr>
        <w:sectPr w:rsidR="009220C5">
          <w:type w:val="continuous"/>
          <w:pgSz w:w="10205" w:h="14740"/>
          <w:pgMar w:top="1674" w:right="847" w:bottom="1102" w:left="850" w:header="720" w:footer="720" w:gutter="0"/>
          <w:cols w:num="2" w:space="340"/>
        </w:sectPr>
      </w:pPr>
    </w:p>
    <w:p w:rsidR="009220C5" w:rsidRDefault="00AF6027">
      <w:pPr>
        <w:spacing w:after="0" w:line="249" w:lineRule="auto"/>
        <w:ind w:right="0" w:firstLine="0"/>
        <w:jc w:val="left"/>
      </w:pPr>
      <w:r>
        <w:rPr>
          <w:sz w:val="18"/>
        </w:rPr>
        <w:t>Corresponding author: Anna Belfiore, Via S. Tommaso D’Aquino 8/C ,70124 Bari, Italy e-mail: belfiore.murri@gmail.com ORCID: 0000-0003-2534-5753</w:t>
      </w:r>
    </w:p>
    <w:sectPr w:rsidR="009220C5">
      <w:type w:val="continuous"/>
      <w:pgSz w:w="10205" w:h="14740"/>
      <w:pgMar w:top="1674" w:right="2847" w:bottom="5482"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6027">
      <w:pPr>
        <w:spacing w:after="0" w:line="240" w:lineRule="auto"/>
      </w:pPr>
      <w:r>
        <w:separator/>
      </w:r>
    </w:p>
  </w:endnote>
  <w:endnote w:type="continuationSeparator" w:id="0">
    <w:p w:rsidR="00000000" w:rsidRDefault="00AF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6027">
      <w:pPr>
        <w:spacing w:after="0" w:line="240" w:lineRule="auto"/>
      </w:pPr>
      <w:r>
        <w:separator/>
      </w:r>
    </w:p>
  </w:footnote>
  <w:footnote w:type="continuationSeparator" w:id="0">
    <w:p w:rsidR="00000000" w:rsidRDefault="00AF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0C5" w:rsidRDefault="00AF6027">
    <w:pPr>
      <w:tabs>
        <w:tab w:val="right" w:pos="8505"/>
      </w:tabs>
      <w:spacing w:after="0" w:line="259" w:lineRule="auto"/>
      <w:ind w:right="0" w:firstLine="0"/>
      <w:jc w:val="left"/>
    </w:pPr>
    <w:r>
      <w:fldChar w:fldCharType="begin"/>
    </w:r>
    <w:r>
      <w:instrText xml:space="preserve"> PAGE   \* MERGEFORMAT </w:instrText>
    </w:r>
    <w:r>
      <w:fldChar w:fldCharType="separate"/>
    </w:r>
    <w:r>
      <w:rPr>
        <w:sz w:val="17"/>
      </w:rPr>
      <w:t>284</w:t>
    </w:r>
    <w:r>
      <w:rPr>
        <w:sz w:val="17"/>
      </w:rPr>
      <w:fldChar w:fldCharType="end"/>
    </w:r>
    <w:r>
      <w:rPr>
        <w:sz w:val="17"/>
      </w:rPr>
      <w:tab/>
    </w:r>
    <w:r>
      <w:rPr>
        <w:sz w:val="19"/>
      </w:rPr>
      <w:t>A. Belfiore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0C5" w:rsidRDefault="00AF6027">
    <w:pPr>
      <w:tabs>
        <w:tab w:val="center" w:pos="8206"/>
      </w:tabs>
      <w:spacing w:after="0" w:line="259" w:lineRule="auto"/>
      <w:ind w:right="0" w:firstLine="0"/>
      <w:jc w:val="left"/>
    </w:pPr>
    <w:r>
      <w:rPr>
        <w:sz w:val="19"/>
      </w:rPr>
      <w:t>Sepsis epidemiology in Internal Medicine Units of Apulia</w:t>
    </w:r>
    <w:r>
      <w:rPr>
        <w:sz w:val="19"/>
      </w:rPr>
      <w:tab/>
    </w:r>
    <w:r>
      <w:fldChar w:fldCharType="begin"/>
    </w:r>
    <w:r>
      <w:instrText xml:space="preserve"> PAGE   \* MERGEFORMAT </w:instrText>
    </w:r>
    <w:r>
      <w:fldChar w:fldCharType="separate"/>
    </w:r>
    <w:r>
      <w:rPr>
        <w:sz w:val="17"/>
      </w:rPr>
      <w:t>283</w:t>
    </w:r>
    <w:r>
      <w:rPr>
        <w:sz w:val="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0C5" w:rsidRDefault="009220C5">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505"/>
    <w:multiLevelType w:val="hybridMultilevel"/>
    <w:tmpl w:val="CE400A98"/>
    <w:lvl w:ilvl="0" w:tplc="B1FA401E">
      <w:start w:val="1"/>
      <w:numFmt w:val="decimal"/>
      <w:lvlText w:val="%1."/>
      <w:lvlJc w:val="left"/>
      <w:pPr>
        <w:ind w:left="3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D267CE2">
      <w:start w:val="1"/>
      <w:numFmt w:val="lowerLetter"/>
      <w:lvlText w:val="%2"/>
      <w:lvlJc w:val="left"/>
      <w:pPr>
        <w:ind w:left="11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2DA0BC2">
      <w:start w:val="1"/>
      <w:numFmt w:val="lowerRoman"/>
      <w:lvlText w:val="%3"/>
      <w:lvlJc w:val="left"/>
      <w:pPr>
        <w:ind w:left="18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C88CE44">
      <w:start w:val="1"/>
      <w:numFmt w:val="decimal"/>
      <w:lvlText w:val="%4"/>
      <w:lvlJc w:val="left"/>
      <w:pPr>
        <w:ind w:left="25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E50D766">
      <w:start w:val="1"/>
      <w:numFmt w:val="lowerLetter"/>
      <w:lvlText w:val="%5"/>
      <w:lvlJc w:val="left"/>
      <w:pPr>
        <w:ind w:left="32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EECDEEE">
      <w:start w:val="1"/>
      <w:numFmt w:val="lowerRoman"/>
      <w:lvlText w:val="%6"/>
      <w:lvlJc w:val="left"/>
      <w:pPr>
        <w:ind w:left="39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0821E6">
      <w:start w:val="1"/>
      <w:numFmt w:val="decimal"/>
      <w:lvlText w:val="%7"/>
      <w:lvlJc w:val="left"/>
      <w:pPr>
        <w:ind w:left="47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1842AAA">
      <w:start w:val="1"/>
      <w:numFmt w:val="lowerLetter"/>
      <w:lvlText w:val="%8"/>
      <w:lvlJc w:val="left"/>
      <w:pPr>
        <w:ind w:left="54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F48EE2">
      <w:start w:val="1"/>
      <w:numFmt w:val="lowerRoman"/>
      <w:lvlText w:val="%9"/>
      <w:lvlJc w:val="left"/>
      <w:pPr>
        <w:ind w:left="61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F090F99"/>
    <w:multiLevelType w:val="hybridMultilevel"/>
    <w:tmpl w:val="38267894"/>
    <w:lvl w:ilvl="0" w:tplc="27BCDA90">
      <w:start w:val="4"/>
      <w:numFmt w:val="decimal"/>
      <w:lvlText w:val="%1"/>
      <w:lvlJc w:val="left"/>
      <w:pPr>
        <w:ind w:left="301"/>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1" w:tplc="8598B780">
      <w:start w:val="1"/>
      <w:numFmt w:val="lowerLetter"/>
      <w:lvlText w:val="%2"/>
      <w:lvlJc w:val="left"/>
      <w:pPr>
        <w:ind w:left="108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2" w:tplc="5BECDBB2">
      <w:start w:val="1"/>
      <w:numFmt w:val="lowerRoman"/>
      <w:lvlText w:val="%3"/>
      <w:lvlJc w:val="left"/>
      <w:pPr>
        <w:ind w:left="180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3" w:tplc="CD7484CC">
      <w:start w:val="1"/>
      <w:numFmt w:val="decimal"/>
      <w:lvlText w:val="%4"/>
      <w:lvlJc w:val="left"/>
      <w:pPr>
        <w:ind w:left="252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4" w:tplc="1128AEBE">
      <w:start w:val="1"/>
      <w:numFmt w:val="lowerLetter"/>
      <w:lvlText w:val="%5"/>
      <w:lvlJc w:val="left"/>
      <w:pPr>
        <w:ind w:left="324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5" w:tplc="457C322C">
      <w:start w:val="1"/>
      <w:numFmt w:val="lowerRoman"/>
      <w:lvlText w:val="%6"/>
      <w:lvlJc w:val="left"/>
      <w:pPr>
        <w:ind w:left="396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6" w:tplc="4E80F2F0">
      <w:start w:val="1"/>
      <w:numFmt w:val="decimal"/>
      <w:lvlText w:val="%7"/>
      <w:lvlJc w:val="left"/>
      <w:pPr>
        <w:ind w:left="468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7" w:tplc="9C7CD44C">
      <w:start w:val="1"/>
      <w:numFmt w:val="lowerLetter"/>
      <w:lvlText w:val="%8"/>
      <w:lvlJc w:val="left"/>
      <w:pPr>
        <w:ind w:left="540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lvl w:ilvl="8" w:tplc="08FAC75E">
      <w:start w:val="1"/>
      <w:numFmt w:val="lowerRoman"/>
      <w:lvlText w:val="%9"/>
      <w:lvlJc w:val="left"/>
      <w:pPr>
        <w:ind w:left="6120"/>
      </w:pPr>
      <w:rPr>
        <w:rFonts w:ascii="Times New Roman" w:eastAsia="Times New Roman" w:hAnsi="Times New Roman" w:cs="Times New Roman"/>
        <w:b w:val="0"/>
        <w:i/>
        <w:iCs/>
        <w:strike w:val="0"/>
        <w:dstrike w:val="0"/>
        <w:color w:val="000000"/>
        <w:sz w:val="15"/>
        <w:szCs w:val="15"/>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C5"/>
    <w:rsid w:val="009220C5"/>
    <w:rsid w:val="00A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52E4A-DB02-4E08-9DE4-F45F4F80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25" w:lineRule="auto"/>
      <w:ind w:right="58" w:firstLine="273"/>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0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80" w:hanging="10"/>
      <w:outlineLvl w:val="1"/>
    </w:pPr>
    <w:rPr>
      <w:rFonts w:ascii="Times New Roman" w:eastAsia="Times New Roman" w:hAnsi="Times New Roman" w:cs="Times New Roman"/>
      <w:b/>
      <w:i/>
      <w:color w:val="000000"/>
      <w:sz w:val="23"/>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3"/>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6692</Words>
  <Characters>38151</Characters>
  <Application>Microsoft Office Word</Application>
  <DocSecurity>4</DocSecurity>
  <Lines>317</Lines>
  <Paragraphs>89</Paragraphs>
  <ScaleCrop>false</ScaleCrop>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Conversion Tools</dc:creator>
  <cp:keywords/>
  <cp:lastModifiedBy>Conversion Tools</cp:lastModifiedBy>
  <cp:revision>2</cp:revision>
  <dcterms:created xsi:type="dcterms:W3CDTF">2025-08-01T12:38:00Z</dcterms:created>
  <dcterms:modified xsi:type="dcterms:W3CDTF">2025-08-01T12:38:00Z</dcterms:modified>
</cp:coreProperties>
</file>